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C3B" w:rsidRPr="00A961CA" w:rsidRDefault="00E71C3B" w:rsidP="005955DA">
      <w:pPr>
        <w:rPr>
          <w:rFonts w:asciiTheme="majorBidi" w:hAnsiTheme="majorBidi" w:cstheme="majorBidi"/>
          <w:b/>
          <w:bCs/>
          <w:color w:val="FF0000"/>
          <w:sz w:val="36"/>
          <w:szCs w:val="36"/>
        </w:rPr>
      </w:pPr>
      <w:bookmarkStart w:id="0" w:name="_GoBack"/>
      <w:bookmarkEnd w:id="0"/>
      <w:r w:rsidRPr="00A961CA">
        <w:rPr>
          <w:rFonts w:asciiTheme="majorBidi" w:hAnsiTheme="majorBidi" w:cstheme="majorBidi"/>
          <w:b/>
          <w:bCs/>
          <w:color w:val="FF0000"/>
          <w:sz w:val="36"/>
          <w:szCs w:val="36"/>
        </w:rPr>
        <w:t xml:space="preserve">                            University of Thi – Qar</w:t>
      </w:r>
    </w:p>
    <w:p w:rsidR="00C62F3A" w:rsidRPr="00A961CA" w:rsidRDefault="00E71C3B" w:rsidP="005955DA">
      <w:pPr>
        <w:rPr>
          <w:rFonts w:asciiTheme="majorBidi" w:hAnsiTheme="majorBidi" w:cstheme="majorBidi"/>
          <w:b/>
          <w:bCs/>
          <w:color w:val="FF0000"/>
          <w:sz w:val="36"/>
          <w:szCs w:val="36"/>
        </w:rPr>
      </w:pPr>
      <w:r w:rsidRPr="00A961CA">
        <w:rPr>
          <w:rFonts w:asciiTheme="majorBidi" w:hAnsiTheme="majorBidi" w:cstheme="majorBidi"/>
          <w:b/>
          <w:bCs/>
          <w:color w:val="FF0000"/>
          <w:sz w:val="36"/>
          <w:szCs w:val="36"/>
        </w:rPr>
        <w:t xml:space="preserve">                                 College of medicine  </w:t>
      </w:r>
    </w:p>
    <w:p w:rsidR="00C62F3A" w:rsidRDefault="00E71C3B" w:rsidP="00E71C3B">
      <w:pPr>
        <w:tabs>
          <w:tab w:val="left" w:pos="3090"/>
        </w:tabs>
        <w:rPr>
          <w:b/>
          <w:bCs/>
          <w:i/>
          <w:iCs/>
          <w:color w:val="FF0000"/>
          <w:sz w:val="36"/>
          <w:szCs w:val="36"/>
        </w:rPr>
      </w:pPr>
      <w:r>
        <w:rPr>
          <w:b/>
          <w:bCs/>
          <w:i/>
          <w:iCs/>
          <w:noProof/>
          <w:color w:val="FF0000"/>
          <w:sz w:val="36"/>
          <w:szCs w:val="36"/>
        </w:rPr>
        <w:drawing>
          <wp:anchor distT="0" distB="0" distL="114300" distR="114300" simplePos="0" relativeHeight="251660288" behindDoc="0" locked="0" layoutInCell="1" allowOverlap="1">
            <wp:simplePos x="0" y="0"/>
            <wp:positionH relativeFrom="column">
              <wp:posOffset>1996440</wp:posOffset>
            </wp:positionH>
            <wp:positionV relativeFrom="paragraph">
              <wp:posOffset>31115</wp:posOffset>
            </wp:positionV>
            <wp:extent cx="1466850" cy="1466850"/>
            <wp:effectExtent l="19050" t="0" r="0" b="0"/>
            <wp:wrapSquare wrapText="bothSides"/>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anchor>
        </w:drawing>
      </w:r>
      <w:r>
        <w:rPr>
          <w:b/>
          <w:bCs/>
          <w:i/>
          <w:iCs/>
          <w:color w:val="FF0000"/>
          <w:sz w:val="36"/>
          <w:szCs w:val="36"/>
        </w:rPr>
        <w:tab/>
      </w:r>
    </w:p>
    <w:p w:rsidR="00C62F3A" w:rsidRDefault="00C62F3A" w:rsidP="005955DA">
      <w:pPr>
        <w:rPr>
          <w:b/>
          <w:bCs/>
          <w:i/>
          <w:iCs/>
          <w:color w:val="FF0000"/>
          <w:sz w:val="36"/>
          <w:szCs w:val="36"/>
          <w:rtl/>
        </w:rPr>
      </w:pPr>
    </w:p>
    <w:p w:rsidR="007631AA" w:rsidRDefault="007631AA" w:rsidP="005955DA">
      <w:pPr>
        <w:rPr>
          <w:b/>
          <w:bCs/>
          <w:i/>
          <w:iCs/>
          <w:color w:val="FF0000"/>
          <w:sz w:val="36"/>
          <w:szCs w:val="36"/>
        </w:rPr>
      </w:pPr>
    </w:p>
    <w:p w:rsidR="00E71C3B" w:rsidRDefault="00E71C3B" w:rsidP="005955DA">
      <w:pPr>
        <w:rPr>
          <w:rFonts w:asciiTheme="majorHAnsi" w:hAnsiTheme="majorHAnsi" w:cstheme="majorBidi"/>
          <w:b/>
          <w:bCs/>
          <w:color w:val="17365D" w:themeColor="text2" w:themeShade="BF"/>
          <w:sz w:val="36"/>
          <w:szCs w:val="36"/>
        </w:rPr>
      </w:pPr>
    </w:p>
    <w:p w:rsidR="00C62F3A" w:rsidRPr="00EF007D" w:rsidRDefault="00C62F3A" w:rsidP="00C84F51">
      <w:pPr>
        <w:rPr>
          <w:rFonts w:asciiTheme="majorBidi" w:hAnsiTheme="majorBidi" w:cstheme="majorBidi"/>
          <w:b/>
          <w:bCs/>
          <w:color w:val="000000" w:themeColor="text1"/>
          <w:sz w:val="36"/>
          <w:szCs w:val="36"/>
        </w:rPr>
      </w:pPr>
      <w:r w:rsidRPr="00EF007D">
        <w:rPr>
          <w:rFonts w:asciiTheme="majorBidi" w:hAnsiTheme="majorBidi" w:cstheme="majorBidi"/>
          <w:b/>
          <w:bCs/>
          <w:color w:val="000000" w:themeColor="text1"/>
          <w:sz w:val="36"/>
          <w:szCs w:val="36"/>
        </w:rPr>
        <w:t xml:space="preserve">The prevalence of celiac disease in </w:t>
      </w:r>
      <w:r w:rsidR="00C84F51" w:rsidRPr="00EF007D">
        <w:rPr>
          <w:rFonts w:asciiTheme="majorBidi" w:hAnsiTheme="majorBidi" w:cstheme="majorBidi"/>
          <w:b/>
          <w:bCs/>
          <w:color w:val="000000" w:themeColor="text1"/>
          <w:sz w:val="36"/>
          <w:szCs w:val="36"/>
        </w:rPr>
        <w:t xml:space="preserve"> iron deficiency anemicpatients </w:t>
      </w:r>
      <w:r w:rsidRPr="00EF007D">
        <w:rPr>
          <w:rFonts w:asciiTheme="majorBidi" w:hAnsiTheme="majorBidi" w:cstheme="majorBidi"/>
          <w:b/>
          <w:bCs/>
          <w:color w:val="000000" w:themeColor="text1"/>
          <w:sz w:val="36"/>
          <w:szCs w:val="36"/>
        </w:rPr>
        <w:t>in Thi _Qar 2018</w:t>
      </w:r>
    </w:p>
    <w:p w:rsidR="00C62F3A" w:rsidRPr="00EF007D" w:rsidRDefault="00C62F3A" w:rsidP="007E23A5">
      <w:pPr>
        <w:tabs>
          <w:tab w:val="left" w:pos="6915"/>
        </w:tabs>
        <w:rPr>
          <w:rFonts w:asciiTheme="majorBidi" w:hAnsiTheme="majorBidi" w:cstheme="majorBidi"/>
          <w:b/>
          <w:bCs/>
          <w:color w:val="000000" w:themeColor="text1"/>
          <w:sz w:val="36"/>
          <w:szCs w:val="36"/>
        </w:rPr>
      </w:pPr>
      <w:r w:rsidRPr="00EF007D">
        <w:rPr>
          <w:rFonts w:asciiTheme="majorBidi" w:hAnsiTheme="majorBidi" w:cstheme="majorBidi"/>
          <w:b/>
          <w:bCs/>
          <w:color w:val="000000" w:themeColor="text1"/>
          <w:sz w:val="36"/>
          <w:szCs w:val="36"/>
        </w:rPr>
        <w:t>: A prospective study</w:t>
      </w:r>
    </w:p>
    <w:p w:rsidR="00C62F3A" w:rsidRDefault="00C62F3A" w:rsidP="005955DA">
      <w:pPr>
        <w:rPr>
          <w:b/>
          <w:bCs/>
          <w:i/>
          <w:iCs/>
          <w:color w:val="FF0000"/>
          <w:sz w:val="36"/>
          <w:szCs w:val="36"/>
        </w:rPr>
      </w:pPr>
    </w:p>
    <w:p w:rsidR="00C62F3A" w:rsidRPr="00C84F51" w:rsidRDefault="00C84F51" w:rsidP="005955DA">
      <w:pPr>
        <w:rPr>
          <w:rFonts w:asciiTheme="majorBidi" w:hAnsiTheme="majorBidi" w:cstheme="majorBidi"/>
          <w:b/>
          <w:bCs/>
          <w:color w:val="000000" w:themeColor="text1"/>
          <w:sz w:val="28"/>
          <w:szCs w:val="28"/>
        </w:rPr>
      </w:pPr>
      <w:r w:rsidRPr="00C84F51">
        <w:rPr>
          <w:rFonts w:asciiTheme="majorBidi" w:hAnsiTheme="majorBidi" w:cstheme="majorBidi"/>
          <w:b/>
          <w:bCs/>
          <w:color w:val="000000" w:themeColor="text1"/>
          <w:sz w:val="28"/>
          <w:szCs w:val="28"/>
        </w:rPr>
        <w:t>Done by</w:t>
      </w:r>
      <w:r>
        <w:rPr>
          <w:rFonts w:asciiTheme="majorBidi" w:hAnsiTheme="majorBidi" w:cstheme="majorBidi"/>
          <w:b/>
          <w:bCs/>
          <w:color w:val="000000" w:themeColor="text1"/>
          <w:sz w:val="28"/>
          <w:szCs w:val="28"/>
        </w:rPr>
        <w:t xml:space="preserve"> :</w:t>
      </w:r>
    </w:p>
    <w:p w:rsidR="00C62F3A" w:rsidRDefault="00336F07" w:rsidP="005955DA">
      <w:pPr>
        <w:rPr>
          <w:b/>
          <w:bCs/>
          <w:i/>
          <w:iCs/>
          <w:color w:val="FF0000"/>
          <w:sz w:val="36"/>
          <w:szCs w:val="36"/>
        </w:rPr>
      </w:pPr>
      <w:r>
        <w:rPr>
          <w:b/>
          <w:bCs/>
          <w:i/>
          <w:iCs/>
          <w:color w:val="FF0000"/>
          <w:sz w:val="36"/>
          <w:szCs w:val="36"/>
        </w:rPr>
        <w:t>Huda Kareem</w:t>
      </w:r>
    </w:p>
    <w:p w:rsidR="00C62F3A" w:rsidRDefault="00336F07" w:rsidP="0025584C">
      <w:pPr>
        <w:rPr>
          <w:b/>
          <w:bCs/>
          <w:i/>
          <w:iCs/>
          <w:color w:val="FF0000"/>
          <w:sz w:val="36"/>
          <w:szCs w:val="36"/>
          <w:rtl/>
        </w:rPr>
      </w:pPr>
      <w:r>
        <w:rPr>
          <w:b/>
          <w:bCs/>
          <w:i/>
          <w:iCs/>
          <w:color w:val="FF0000"/>
          <w:sz w:val="36"/>
          <w:szCs w:val="36"/>
        </w:rPr>
        <w:t>Durar Ali</w:t>
      </w:r>
    </w:p>
    <w:p w:rsidR="00B7173F" w:rsidRDefault="00336F07" w:rsidP="000E57B4">
      <w:pPr>
        <w:rPr>
          <w:rFonts w:asciiTheme="majorBidi" w:hAnsiTheme="majorBidi" w:cstheme="majorBidi"/>
          <w:b/>
          <w:bCs/>
          <w:color w:val="000000" w:themeColor="text1"/>
          <w:sz w:val="36"/>
          <w:szCs w:val="36"/>
          <w:rtl/>
        </w:rPr>
      </w:pPr>
      <w:r w:rsidRPr="00C84F51">
        <w:rPr>
          <w:rFonts w:asciiTheme="majorBidi" w:hAnsiTheme="majorBidi" w:cstheme="majorBidi"/>
          <w:b/>
          <w:bCs/>
          <w:color w:val="000000" w:themeColor="text1"/>
          <w:sz w:val="36"/>
          <w:szCs w:val="36"/>
        </w:rPr>
        <w:t xml:space="preserve">Supervisor : </w:t>
      </w:r>
      <w:r w:rsidR="002D0F23">
        <w:rPr>
          <w:rFonts w:asciiTheme="majorBidi" w:hAnsiTheme="majorBidi" w:cstheme="majorBidi" w:hint="cs"/>
          <w:b/>
          <w:bCs/>
          <w:color w:val="000000" w:themeColor="text1"/>
          <w:sz w:val="36"/>
          <w:szCs w:val="36"/>
        </w:rPr>
        <w:t xml:space="preserve">The </w:t>
      </w:r>
      <w:r w:rsidR="00B7173F">
        <w:rPr>
          <w:rFonts w:asciiTheme="majorBidi" w:hAnsiTheme="majorBidi" w:cstheme="majorBidi" w:hint="cs"/>
          <w:b/>
          <w:bCs/>
          <w:color w:val="000000" w:themeColor="text1"/>
          <w:sz w:val="36"/>
          <w:szCs w:val="36"/>
        </w:rPr>
        <w:t>E</w:t>
      </w:r>
      <w:r w:rsidR="002D0F23">
        <w:rPr>
          <w:rFonts w:asciiTheme="majorBidi" w:hAnsiTheme="majorBidi" w:cstheme="majorBidi" w:hint="cs"/>
          <w:b/>
          <w:bCs/>
          <w:color w:val="000000" w:themeColor="text1"/>
          <w:sz w:val="36"/>
          <w:szCs w:val="36"/>
        </w:rPr>
        <w:t xml:space="preserve">ndoscopist </w:t>
      </w:r>
      <w:r w:rsidR="0018561D">
        <w:rPr>
          <w:rFonts w:asciiTheme="majorBidi" w:hAnsiTheme="majorBidi" w:cstheme="majorBidi" w:hint="cs"/>
          <w:b/>
          <w:bCs/>
          <w:color w:val="000000" w:themeColor="text1"/>
          <w:sz w:val="36"/>
          <w:szCs w:val="36"/>
        </w:rPr>
        <w:t>&amp;</w:t>
      </w:r>
      <w:r w:rsidR="00B7173F">
        <w:rPr>
          <w:rFonts w:asciiTheme="majorBidi" w:hAnsiTheme="majorBidi" w:cstheme="majorBidi" w:hint="cs"/>
          <w:b/>
          <w:bCs/>
          <w:color w:val="000000" w:themeColor="text1"/>
          <w:sz w:val="36"/>
          <w:szCs w:val="36"/>
        </w:rPr>
        <w:t>G</w:t>
      </w:r>
      <w:r w:rsidR="0018561D">
        <w:rPr>
          <w:rFonts w:asciiTheme="majorBidi" w:hAnsiTheme="majorBidi" w:cstheme="majorBidi" w:hint="cs"/>
          <w:b/>
          <w:bCs/>
          <w:color w:val="000000" w:themeColor="text1"/>
          <w:sz w:val="36"/>
          <w:szCs w:val="36"/>
        </w:rPr>
        <w:t xml:space="preserve">astroentologist </w:t>
      </w:r>
    </w:p>
    <w:p w:rsidR="000E57B4" w:rsidRPr="00647D65" w:rsidRDefault="00FB06CD" w:rsidP="000E57B4">
      <w:pPr>
        <w:rPr>
          <w:rFonts w:asciiTheme="majorBidi" w:hAnsiTheme="majorBidi" w:cstheme="majorBidi"/>
          <w:b/>
          <w:bCs/>
          <w:color w:val="C00000"/>
          <w:sz w:val="36"/>
          <w:szCs w:val="36"/>
          <w:rtl/>
        </w:rPr>
      </w:pPr>
      <w:r w:rsidRPr="00647D65">
        <w:rPr>
          <w:rFonts w:asciiTheme="majorBidi" w:hAnsiTheme="majorBidi" w:cstheme="majorBidi"/>
          <w:b/>
          <w:bCs/>
          <w:color w:val="C00000"/>
          <w:sz w:val="36"/>
          <w:szCs w:val="36"/>
        </w:rPr>
        <w:t xml:space="preserve">Dr . Faez Khalaf </w:t>
      </w:r>
      <w:r w:rsidR="000E57B4" w:rsidRPr="00647D65">
        <w:rPr>
          <w:rFonts w:asciiTheme="majorBidi" w:hAnsiTheme="majorBidi" w:cstheme="majorBidi" w:hint="cs"/>
          <w:b/>
          <w:bCs/>
          <w:color w:val="C00000"/>
          <w:sz w:val="36"/>
          <w:szCs w:val="36"/>
        </w:rPr>
        <w:t>Abdulmuhsen</w:t>
      </w:r>
    </w:p>
    <w:p w:rsidR="00C84F51" w:rsidRDefault="00044040" w:rsidP="000E57B4">
      <w:pPr>
        <w:rPr>
          <w:rFonts w:asciiTheme="majorBidi" w:hAnsiTheme="majorBidi" w:cstheme="majorBidi"/>
          <w:b/>
          <w:bCs/>
          <w:i/>
          <w:iCs/>
          <w:color w:val="000000" w:themeColor="text1"/>
          <w:sz w:val="36"/>
          <w:szCs w:val="36"/>
          <w:rtl/>
        </w:rPr>
      </w:pPr>
      <w:r w:rsidRPr="00044040">
        <w:rPr>
          <w:rFonts w:asciiTheme="majorBidi" w:hAnsiTheme="majorBidi" w:cstheme="majorBidi"/>
          <w:b/>
          <w:bCs/>
          <w:i/>
          <w:iCs/>
          <w:color w:val="000000" w:themeColor="text1"/>
          <w:sz w:val="36"/>
          <w:szCs w:val="36"/>
        </w:rPr>
        <w:t>MD - FACP,FIBMD-CABMS(Med),FIBMS(GIT&amp;HEP)</w:t>
      </w:r>
    </w:p>
    <w:p w:rsidR="00ED35F0" w:rsidRDefault="00AA4864" w:rsidP="000E57B4">
      <w:pPr>
        <w:rPr>
          <w:rFonts w:asciiTheme="majorBidi" w:hAnsiTheme="majorBidi" w:cstheme="majorBidi"/>
          <w:b/>
          <w:bCs/>
          <w:color w:val="000000" w:themeColor="text1"/>
          <w:sz w:val="36"/>
          <w:szCs w:val="36"/>
          <w:rtl/>
        </w:rPr>
      </w:pPr>
      <w:r w:rsidRPr="00AA4864">
        <w:rPr>
          <w:rFonts w:asciiTheme="majorBidi" w:hAnsiTheme="majorBidi" w:cstheme="majorBidi"/>
          <w:b/>
          <w:bCs/>
          <w:color w:val="000000" w:themeColor="text1"/>
          <w:sz w:val="36"/>
          <w:szCs w:val="36"/>
        </w:rPr>
        <w:t xml:space="preserve">University of Thi </w:t>
      </w:r>
      <w:r w:rsidR="00E2391E">
        <w:rPr>
          <w:rFonts w:asciiTheme="majorBidi" w:hAnsiTheme="majorBidi" w:cstheme="majorBidi" w:hint="cs"/>
          <w:b/>
          <w:bCs/>
          <w:color w:val="000000" w:themeColor="text1"/>
          <w:sz w:val="36"/>
          <w:szCs w:val="36"/>
        </w:rPr>
        <w:t xml:space="preserve">Qar / college of medicine </w:t>
      </w:r>
    </w:p>
    <w:p w:rsidR="007C775F" w:rsidRPr="000E57B4" w:rsidRDefault="001B062F" w:rsidP="000E57B4">
      <w:pPr>
        <w:rPr>
          <w:rFonts w:asciiTheme="majorBidi" w:hAnsiTheme="majorBidi" w:cstheme="majorBidi"/>
          <w:b/>
          <w:bCs/>
          <w:color w:val="000000" w:themeColor="text1"/>
          <w:sz w:val="36"/>
          <w:szCs w:val="36"/>
        </w:rPr>
      </w:pPr>
      <w:r>
        <w:rPr>
          <w:rFonts w:asciiTheme="majorBidi" w:hAnsiTheme="majorBidi" w:cstheme="majorBidi" w:hint="cs"/>
          <w:b/>
          <w:bCs/>
          <w:color w:val="000000" w:themeColor="text1"/>
          <w:sz w:val="36"/>
          <w:szCs w:val="36"/>
        </w:rPr>
        <w:t xml:space="preserve">         </w:t>
      </w:r>
      <w:r w:rsidR="007C775F">
        <w:rPr>
          <w:rFonts w:asciiTheme="majorBidi" w:hAnsiTheme="majorBidi" w:cstheme="majorBidi" w:hint="cs"/>
          <w:b/>
          <w:bCs/>
          <w:color w:val="000000" w:themeColor="text1"/>
          <w:sz w:val="36"/>
          <w:szCs w:val="36"/>
        </w:rPr>
        <w:t xml:space="preserve"> Internal medicine department </w:t>
      </w:r>
    </w:p>
    <w:p w:rsidR="00C62F3A" w:rsidRDefault="00C62F3A" w:rsidP="005955DA">
      <w:pPr>
        <w:rPr>
          <w:b/>
          <w:bCs/>
          <w:i/>
          <w:iCs/>
          <w:color w:val="FF0000"/>
          <w:sz w:val="36"/>
          <w:szCs w:val="36"/>
        </w:rPr>
      </w:pPr>
    </w:p>
    <w:p w:rsidR="002C01F0" w:rsidRDefault="002C01F0" w:rsidP="005955DA">
      <w:pPr>
        <w:rPr>
          <w:b/>
          <w:bCs/>
          <w:i/>
          <w:iCs/>
          <w:color w:val="FF0000"/>
          <w:sz w:val="36"/>
          <w:szCs w:val="36"/>
        </w:rPr>
      </w:pPr>
    </w:p>
    <w:p w:rsidR="00E71C3B" w:rsidRDefault="00E71C3B" w:rsidP="005955DA">
      <w:pPr>
        <w:rPr>
          <w:b/>
          <w:bCs/>
          <w:i/>
          <w:iCs/>
          <w:color w:val="FF0000"/>
          <w:sz w:val="36"/>
          <w:szCs w:val="36"/>
        </w:rPr>
      </w:pPr>
      <w:r w:rsidRPr="00E71C3B">
        <w:rPr>
          <w:b/>
          <w:bCs/>
          <w:i/>
          <w:iCs/>
          <w:noProof/>
          <w:color w:val="FF0000"/>
          <w:sz w:val="36"/>
          <w:szCs w:val="36"/>
        </w:rPr>
        <w:drawing>
          <wp:inline distT="0" distB="0" distL="0" distR="0">
            <wp:extent cx="5486400" cy="6163961"/>
            <wp:effectExtent l="0" t="0" r="0" b="8255"/>
            <wp:docPr id="8" name="Picture 1" descr="C:\Users\Che\Desktop\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Desktop\wo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163961"/>
                    </a:xfrm>
                    <a:prstGeom prst="rect">
                      <a:avLst/>
                    </a:prstGeom>
                    <a:noFill/>
                    <a:ln>
                      <a:noFill/>
                    </a:ln>
                  </pic:spPr>
                </pic:pic>
              </a:graphicData>
            </a:graphic>
          </wp:inline>
        </w:drawing>
      </w:r>
    </w:p>
    <w:p w:rsidR="00E71C3B" w:rsidRDefault="00E71C3B" w:rsidP="005955DA">
      <w:pPr>
        <w:rPr>
          <w:b/>
          <w:bCs/>
          <w:i/>
          <w:iCs/>
          <w:color w:val="FF0000"/>
          <w:sz w:val="36"/>
          <w:szCs w:val="36"/>
        </w:rPr>
      </w:pPr>
    </w:p>
    <w:p w:rsidR="00213B41" w:rsidRPr="00213B41" w:rsidRDefault="00213B41" w:rsidP="00213B41">
      <w:pPr>
        <w:jc w:val="center"/>
        <w:rPr>
          <w:b/>
          <w:bCs/>
          <w:color w:val="FF0000"/>
          <w:sz w:val="40"/>
          <w:szCs w:val="40"/>
          <w:lang w:bidi="ar-IQ"/>
        </w:rPr>
      </w:pPr>
      <w:r w:rsidRPr="00213B41">
        <w:rPr>
          <w:b/>
          <w:bCs/>
          <w:color w:val="FF0000"/>
          <w:sz w:val="40"/>
          <w:szCs w:val="40"/>
          <w:lang w:bidi="ar-IQ"/>
        </w:rPr>
        <w:t>AKNOWLDGMENT</w:t>
      </w:r>
    </w:p>
    <w:p w:rsidR="00E71C3B" w:rsidRPr="00725AD7" w:rsidRDefault="00213B41" w:rsidP="005955DA">
      <w:pPr>
        <w:rPr>
          <w:b/>
          <w:bCs/>
          <w:i/>
          <w:iCs/>
          <w:color w:val="000000" w:themeColor="text1"/>
          <w:sz w:val="36"/>
          <w:szCs w:val="36"/>
        </w:rPr>
      </w:pPr>
      <w:r w:rsidRPr="00725AD7">
        <w:rPr>
          <w:b/>
          <w:bCs/>
          <w:i/>
          <w:iCs/>
          <w:color w:val="000000" w:themeColor="text1"/>
          <w:sz w:val="36"/>
          <w:szCs w:val="36"/>
        </w:rPr>
        <w:lastRenderedPageBreak/>
        <w:t>*In the name of Allah ,the first who deserve all thanks and appreciation.</w:t>
      </w:r>
    </w:p>
    <w:p w:rsidR="00E71C3B" w:rsidRPr="00725AD7" w:rsidRDefault="00213B41" w:rsidP="005955DA">
      <w:pPr>
        <w:rPr>
          <w:b/>
          <w:bCs/>
          <w:i/>
          <w:iCs/>
          <w:color w:val="000000" w:themeColor="text1"/>
          <w:sz w:val="36"/>
          <w:szCs w:val="36"/>
        </w:rPr>
      </w:pPr>
      <w:r w:rsidRPr="00725AD7">
        <w:rPr>
          <w:b/>
          <w:bCs/>
          <w:i/>
          <w:iCs/>
          <w:color w:val="000000" w:themeColor="text1"/>
          <w:sz w:val="36"/>
          <w:szCs w:val="36"/>
        </w:rPr>
        <w:t xml:space="preserve">*I would like to express my gratitude to my inspiring supervisor </w:t>
      </w:r>
      <w:r w:rsidRPr="00725AD7">
        <w:rPr>
          <w:b/>
          <w:bCs/>
          <w:i/>
          <w:iCs/>
          <w:color w:val="FF0000"/>
          <w:sz w:val="36"/>
          <w:szCs w:val="36"/>
        </w:rPr>
        <w:t>Dr.Faez</w:t>
      </w:r>
      <w:r w:rsidR="001B062F">
        <w:rPr>
          <w:b/>
          <w:bCs/>
          <w:i/>
          <w:iCs/>
          <w:color w:val="FF0000"/>
          <w:sz w:val="36"/>
          <w:szCs w:val="36"/>
        </w:rPr>
        <w:t xml:space="preserve"> </w:t>
      </w:r>
      <w:r w:rsidR="00C3310E" w:rsidRPr="00725AD7">
        <w:rPr>
          <w:b/>
          <w:bCs/>
          <w:i/>
          <w:iCs/>
          <w:color w:val="FF0000"/>
          <w:sz w:val="36"/>
          <w:szCs w:val="36"/>
        </w:rPr>
        <w:t>khalaf</w:t>
      </w:r>
      <w:r w:rsidR="00C3310E" w:rsidRPr="00725AD7">
        <w:rPr>
          <w:b/>
          <w:bCs/>
          <w:i/>
          <w:iCs/>
          <w:color w:val="000000" w:themeColor="text1"/>
          <w:sz w:val="36"/>
          <w:szCs w:val="36"/>
        </w:rPr>
        <w:t xml:space="preserve">  for his invaluable advices ,guidance ,patience and his passion for teaching .</w:t>
      </w:r>
    </w:p>
    <w:p w:rsidR="00C3310E" w:rsidRPr="00725AD7" w:rsidRDefault="00C3310E" w:rsidP="005955DA">
      <w:pPr>
        <w:rPr>
          <w:b/>
          <w:bCs/>
          <w:i/>
          <w:iCs/>
          <w:color w:val="000000" w:themeColor="text1"/>
          <w:sz w:val="36"/>
          <w:szCs w:val="36"/>
        </w:rPr>
      </w:pPr>
      <w:r w:rsidRPr="00725AD7">
        <w:rPr>
          <w:b/>
          <w:bCs/>
          <w:i/>
          <w:iCs/>
          <w:color w:val="000000" w:themeColor="text1"/>
          <w:sz w:val="36"/>
          <w:szCs w:val="36"/>
        </w:rPr>
        <w:t>*To my supportive parents and my loyal friends</w:t>
      </w:r>
    </w:p>
    <w:p w:rsidR="00C3310E" w:rsidRPr="00725AD7" w:rsidRDefault="00C3310E" w:rsidP="005955DA">
      <w:pPr>
        <w:rPr>
          <w:b/>
          <w:bCs/>
          <w:i/>
          <w:iCs/>
          <w:color w:val="000000" w:themeColor="text1"/>
          <w:sz w:val="36"/>
          <w:szCs w:val="36"/>
        </w:rPr>
      </w:pPr>
      <w:r w:rsidRPr="00725AD7">
        <w:rPr>
          <w:b/>
          <w:bCs/>
          <w:i/>
          <w:iCs/>
          <w:color w:val="000000" w:themeColor="text1"/>
          <w:sz w:val="36"/>
          <w:szCs w:val="36"/>
        </w:rPr>
        <w:t>Special thanks to</w:t>
      </w:r>
    </w:p>
    <w:p w:rsidR="00C3310E" w:rsidRPr="00725AD7" w:rsidRDefault="00C3310E" w:rsidP="005955DA">
      <w:pPr>
        <w:rPr>
          <w:b/>
          <w:bCs/>
          <w:i/>
          <w:iCs/>
          <w:color w:val="000000" w:themeColor="text1"/>
          <w:sz w:val="36"/>
          <w:szCs w:val="36"/>
        </w:rPr>
      </w:pPr>
      <w:r w:rsidRPr="00725AD7">
        <w:rPr>
          <w:b/>
          <w:bCs/>
          <w:i/>
          <w:iCs/>
          <w:color w:val="000000" w:themeColor="text1"/>
          <w:sz w:val="36"/>
          <w:szCs w:val="36"/>
        </w:rPr>
        <w:t xml:space="preserve">1.Dr.Muslim Nahi : community department </w:t>
      </w:r>
    </w:p>
    <w:p w:rsidR="00C3310E" w:rsidRPr="00725AD7" w:rsidRDefault="00C3310E" w:rsidP="005955DA">
      <w:pPr>
        <w:rPr>
          <w:b/>
          <w:bCs/>
          <w:i/>
          <w:iCs/>
          <w:color w:val="000000" w:themeColor="text1"/>
          <w:sz w:val="36"/>
          <w:szCs w:val="36"/>
        </w:rPr>
      </w:pPr>
      <w:r w:rsidRPr="00725AD7">
        <w:rPr>
          <w:b/>
          <w:bCs/>
          <w:i/>
          <w:iCs/>
          <w:color w:val="000000" w:themeColor="text1"/>
          <w:sz w:val="36"/>
          <w:szCs w:val="36"/>
        </w:rPr>
        <w:t>2.Dr.Adeeb</w:t>
      </w:r>
      <w:r w:rsidR="001B062F">
        <w:rPr>
          <w:b/>
          <w:bCs/>
          <w:i/>
          <w:iCs/>
          <w:color w:val="000000" w:themeColor="text1"/>
          <w:sz w:val="36"/>
          <w:szCs w:val="36"/>
        </w:rPr>
        <w:t xml:space="preserve"> Abd al Aali</w:t>
      </w:r>
      <w:r w:rsidR="00725AD7" w:rsidRPr="00725AD7">
        <w:rPr>
          <w:b/>
          <w:bCs/>
          <w:i/>
          <w:iCs/>
          <w:color w:val="000000" w:themeColor="text1"/>
          <w:sz w:val="36"/>
          <w:szCs w:val="36"/>
        </w:rPr>
        <w:t xml:space="preserve"> : pathology department </w:t>
      </w:r>
    </w:p>
    <w:p w:rsidR="00725AD7" w:rsidRPr="00725AD7" w:rsidRDefault="00725AD7" w:rsidP="005955DA">
      <w:pPr>
        <w:rPr>
          <w:b/>
          <w:bCs/>
          <w:i/>
          <w:iCs/>
          <w:color w:val="000000" w:themeColor="text1"/>
          <w:sz w:val="36"/>
          <w:szCs w:val="36"/>
        </w:rPr>
      </w:pPr>
      <w:r w:rsidRPr="00725AD7">
        <w:rPr>
          <w:b/>
          <w:bCs/>
          <w:i/>
          <w:iCs/>
          <w:color w:val="000000" w:themeColor="text1"/>
          <w:sz w:val="36"/>
          <w:szCs w:val="36"/>
        </w:rPr>
        <w:t>3.To the nurses and workers in the gastroentology department,</w:t>
      </w:r>
    </w:p>
    <w:p w:rsidR="00725AD7" w:rsidRPr="00725AD7" w:rsidRDefault="00725AD7" w:rsidP="005955DA">
      <w:pPr>
        <w:rPr>
          <w:b/>
          <w:bCs/>
          <w:i/>
          <w:iCs/>
          <w:color w:val="000000" w:themeColor="text1"/>
          <w:sz w:val="36"/>
          <w:szCs w:val="36"/>
        </w:rPr>
      </w:pPr>
      <w:r w:rsidRPr="00725AD7">
        <w:rPr>
          <w:b/>
          <w:bCs/>
          <w:i/>
          <w:iCs/>
          <w:color w:val="000000" w:themeColor="text1"/>
          <w:sz w:val="36"/>
          <w:szCs w:val="36"/>
        </w:rPr>
        <w:t>4. nurses and staffs in the central laboratory in Al-Hussein teaching hospital</w:t>
      </w:r>
    </w:p>
    <w:p w:rsidR="00725AD7" w:rsidRPr="00725AD7" w:rsidRDefault="00725AD7" w:rsidP="005955DA">
      <w:pPr>
        <w:rPr>
          <w:b/>
          <w:bCs/>
          <w:i/>
          <w:iCs/>
          <w:color w:val="000000" w:themeColor="text1"/>
          <w:sz w:val="36"/>
          <w:szCs w:val="36"/>
        </w:rPr>
      </w:pPr>
      <w:r w:rsidRPr="00725AD7">
        <w:rPr>
          <w:b/>
          <w:bCs/>
          <w:i/>
          <w:iCs/>
          <w:color w:val="000000" w:themeColor="text1"/>
          <w:sz w:val="36"/>
          <w:szCs w:val="36"/>
        </w:rPr>
        <w:t xml:space="preserve">5.to the  real teachers </w:t>
      </w:r>
      <w:r w:rsidR="001B062F">
        <w:rPr>
          <w:b/>
          <w:bCs/>
          <w:i/>
          <w:iCs/>
          <w:color w:val="000000" w:themeColor="text1"/>
          <w:sz w:val="36"/>
          <w:szCs w:val="36"/>
        </w:rPr>
        <w:t>:</w:t>
      </w:r>
      <w:r w:rsidRPr="00725AD7">
        <w:rPr>
          <w:b/>
          <w:bCs/>
          <w:i/>
          <w:iCs/>
          <w:color w:val="000000" w:themeColor="text1"/>
          <w:sz w:val="36"/>
          <w:szCs w:val="36"/>
        </w:rPr>
        <w:t xml:space="preserve"> our (patients) for their cooperation</w:t>
      </w:r>
    </w:p>
    <w:p w:rsidR="00E71C3B" w:rsidRDefault="00E71C3B" w:rsidP="005955DA">
      <w:pPr>
        <w:rPr>
          <w:b/>
          <w:bCs/>
          <w:i/>
          <w:iCs/>
          <w:color w:val="FF0000"/>
          <w:sz w:val="36"/>
          <w:szCs w:val="36"/>
        </w:rPr>
      </w:pPr>
    </w:p>
    <w:p w:rsidR="00E71C3B" w:rsidRDefault="00E71C3B" w:rsidP="005955DA">
      <w:pPr>
        <w:rPr>
          <w:b/>
          <w:bCs/>
          <w:i/>
          <w:iCs/>
          <w:color w:val="FF0000"/>
          <w:sz w:val="36"/>
          <w:szCs w:val="36"/>
          <w:rtl/>
        </w:rPr>
      </w:pPr>
    </w:p>
    <w:p w:rsidR="00650D5A" w:rsidRDefault="00650D5A" w:rsidP="005955DA">
      <w:pPr>
        <w:rPr>
          <w:b/>
          <w:bCs/>
          <w:i/>
          <w:iCs/>
          <w:color w:val="FF0000"/>
          <w:sz w:val="36"/>
          <w:szCs w:val="36"/>
        </w:rPr>
      </w:pPr>
    </w:p>
    <w:p w:rsidR="00BA3D07" w:rsidRDefault="00BA3D07" w:rsidP="005955DA">
      <w:pPr>
        <w:rPr>
          <w:b/>
          <w:bCs/>
          <w:i/>
          <w:iCs/>
          <w:color w:val="FF0000"/>
          <w:sz w:val="36"/>
          <w:szCs w:val="36"/>
        </w:rPr>
      </w:pPr>
    </w:p>
    <w:p w:rsidR="007E23A5" w:rsidRPr="00BA3D07" w:rsidRDefault="00BA3D07" w:rsidP="00BA3D07">
      <w:pPr>
        <w:ind w:left="360"/>
        <w:rPr>
          <w:b/>
          <w:bCs/>
          <w:i/>
          <w:iCs/>
          <w:color w:val="FF0000"/>
          <w:sz w:val="36"/>
          <w:szCs w:val="36"/>
          <w:u w:val="single"/>
        </w:rPr>
      </w:pPr>
      <w:r w:rsidRPr="00BA3D07">
        <w:rPr>
          <w:b/>
          <w:bCs/>
          <w:i/>
          <w:iCs/>
          <w:color w:val="FF0000"/>
          <w:sz w:val="36"/>
          <w:szCs w:val="36"/>
          <w:u w:val="single"/>
        </w:rPr>
        <w:t>*</w:t>
      </w:r>
      <w:r w:rsidR="007E23A5" w:rsidRPr="00BA3D07">
        <w:rPr>
          <w:b/>
          <w:bCs/>
          <w:i/>
          <w:iCs/>
          <w:color w:val="FF0000"/>
          <w:sz w:val="36"/>
          <w:szCs w:val="36"/>
          <w:u w:val="single"/>
        </w:rPr>
        <w:t xml:space="preserve">Contents </w:t>
      </w:r>
      <w:r w:rsidRPr="00BA3D07">
        <w:rPr>
          <w:b/>
          <w:bCs/>
          <w:i/>
          <w:iCs/>
          <w:color w:val="FF0000"/>
          <w:sz w:val="36"/>
          <w:szCs w:val="36"/>
          <w:u w:val="single"/>
        </w:rPr>
        <w:t>:</w:t>
      </w:r>
    </w:p>
    <w:p w:rsidR="00BA3D07" w:rsidRDefault="00BA3D07" w:rsidP="00BA3D07">
      <w:pPr>
        <w:pStyle w:val="ListParagraph"/>
        <w:numPr>
          <w:ilvl w:val="0"/>
          <w:numId w:val="5"/>
        </w:numPr>
        <w:rPr>
          <w:b/>
          <w:bCs/>
          <w:i/>
          <w:iCs/>
          <w:sz w:val="36"/>
          <w:szCs w:val="36"/>
        </w:rPr>
      </w:pPr>
      <w:r w:rsidRPr="00BA3D07">
        <w:rPr>
          <w:b/>
          <w:bCs/>
          <w:i/>
          <w:iCs/>
          <w:sz w:val="36"/>
          <w:szCs w:val="36"/>
        </w:rPr>
        <w:lastRenderedPageBreak/>
        <w:t>Abstract</w:t>
      </w:r>
    </w:p>
    <w:p w:rsidR="00650D5A" w:rsidRPr="00BA3D07" w:rsidRDefault="00650D5A" w:rsidP="00650D5A">
      <w:pPr>
        <w:pStyle w:val="ListParagraph"/>
        <w:ind w:left="360"/>
        <w:rPr>
          <w:b/>
          <w:bCs/>
          <w:i/>
          <w:iCs/>
          <w:sz w:val="36"/>
          <w:szCs w:val="36"/>
        </w:rPr>
      </w:pPr>
    </w:p>
    <w:p w:rsidR="00BA3D07" w:rsidRDefault="00BA3D07" w:rsidP="00BA3D07">
      <w:pPr>
        <w:pStyle w:val="ListParagraph"/>
        <w:numPr>
          <w:ilvl w:val="0"/>
          <w:numId w:val="4"/>
        </w:numPr>
        <w:rPr>
          <w:b/>
          <w:bCs/>
          <w:i/>
          <w:iCs/>
          <w:sz w:val="36"/>
          <w:szCs w:val="36"/>
        </w:rPr>
      </w:pPr>
      <w:r w:rsidRPr="00BA3D07">
        <w:rPr>
          <w:b/>
          <w:bCs/>
          <w:i/>
          <w:iCs/>
          <w:sz w:val="36"/>
          <w:szCs w:val="36"/>
        </w:rPr>
        <w:t>Introduction</w:t>
      </w:r>
    </w:p>
    <w:p w:rsidR="00650D5A" w:rsidRPr="00BA3D07" w:rsidRDefault="00650D5A" w:rsidP="00650D5A">
      <w:pPr>
        <w:pStyle w:val="ListParagraph"/>
        <w:ind w:left="360"/>
        <w:rPr>
          <w:b/>
          <w:bCs/>
          <w:i/>
          <w:iCs/>
          <w:sz w:val="36"/>
          <w:szCs w:val="36"/>
        </w:rPr>
      </w:pPr>
    </w:p>
    <w:p w:rsidR="00527E89" w:rsidRDefault="00BA3D07" w:rsidP="00527E89">
      <w:pPr>
        <w:pStyle w:val="ListParagraph"/>
        <w:numPr>
          <w:ilvl w:val="0"/>
          <w:numId w:val="4"/>
        </w:numPr>
        <w:rPr>
          <w:b/>
          <w:bCs/>
          <w:i/>
          <w:iCs/>
          <w:sz w:val="36"/>
          <w:szCs w:val="36"/>
        </w:rPr>
      </w:pPr>
      <w:r w:rsidRPr="00BA3D07">
        <w:rPr>
          <w:b/>
          <w:bCs/>
          <w:i/>
          <w:iCs/>
          <w:sz w:val="36"/>
          <w:szCs w:val="36"/>
        </w:rPr>
        <w:t>Method</w:t>
      </w:r>
      <w:r w:rsidR="008D3F00">
        <w:rPr>
          <w:rFonts w:hint="cs"/>
          <w:b/>
          <w:bCs/>
          <w:i/>
          <w:iCs/>
          <w:sz w:val="36"/>
          <w:szCs w:val="36"/>
        </w:rPr>
        <w:t>s</w:t>
      </w:r>
    </w:p>
    <w:p w:rsidR="00527E89" w:rsidRPr="00527E89" w:rsidRDefault="00527E89" w:rsidP="00527E89">
      <w:pPr>
        <w:pStyle w:val="ListParagraph"/>
        <w:rPr>
          <w:b/>
          <w:bCs/>
          <w:i/>
          <w:iCs/>
          <w:sz w:val="36"/>
          <w:szCs w:val="36"/>
        </w:rPr>
      </w:pPr>
    </w:p>
    <w:p w:rsidR="00BA3D07" w:rsidRPr="00527E89" w:rsidRDefault="00527E89" w:rsidP="00527E89">
      <w:pPr>
        <w:pStyle w:val="ListParagraph"/>
        <w:numPr>
          <w:ilvl w:val="0"/>
          <w:numId w:val="4"/>
        </w:numPr>
        <w:rPr>
          <w:b/>
          <w:bCs/>
          <w:i/>
          <w:iCs/>
          <w:sz w:val="36"/>
          <w:szCs w:val="36"/>
        </w:rPr>
      </w:pPr>
      <w:r>
        <w:rPr>
          <w:rFonts w:hint="cs"/>
          <w:b/>
          <w:bCs/>
          <w:i/>
          <w:iCs/>
          <w:sz w:val="36"/>
          <w:szCs w:val="36"/>
        </w:rPr>
        <w:t>Results</w:t>
      </w:r>
    </w:p>
    <w:p w:rsidR="0076254F" w:rsidRPr="00DB574E" w:rsidRDefault="0076254F" w:rsidP="00DB574E">
      <w:pPr>
        <w:pStyle w:val="ListParagraph"/>
        <w:ind w:left="360"/>
        <w:rPr>
          <w:b/>
          <w:bCs/>
          <w:i/>
          <w:iCs/>
          <w:sz w:val="36"/>
          <w:szCs w:val="36"/>
        </w:rPr>
      </w:pPr>
    </w:p>
    <w:p w:rsidR="00BA3D07" w:rsidRDefault="00BA3D07" w:rsidP="00BA3D07">
      <w:pPr>
        <w:pStyle w:val="ListParagraph"/>
        <w:numPr>
          <w:ilvl w:val="0"/>
          <w:numId w:val="4"/>
        </w:numPr>
        <w:rPr>
          <w:b/>
          <w:bCs/>
          <w:i/>
          <w:iCs/>
          <w:sz w:val="36"/>
          <w:szCs w:val="36"/>
        </w:rPr>
      </w:pPr>
      <w:r w:rsidRPr="00BA3D07">
        <w:rPr>
          <w:b/>
          <w:bCs/>
          <w:i/>
          <w:iCs/>
          <w:sz w:val="36"/>
          <w:szCs w:val="36"/>
        </w:rPr>
        <w:t>Discussion</w:t>
      </w:r>
    </w:p>
    <w:p w:rsidR="0076254F" w:rsidRPr="00BA3D07" w:rsidRDefault="0076254F" w:rsidP="00DB574E">
      <w:pPr>
        <w:pStyle w:val="ListParagraph"/>
        <w:ind w:left="360"/>
        <w:rPr>
          <w:b/>
          <w:bCs/>
          <w:i/>
          <w:iCs/>
          <w:sz w:val="36"/>
          <w:szCs w:val="36"/>
        </w:rPr>
      </w:pPr>
    </w:p>
    <w:p w:rsidR="00BA3D07" w:rsidRDefault="00BA3D07" w:rsidP="00BA3D07">
      <w:pPr>
        <w:pStyle w:val="ListParagraph"/>
        <w:numPr>
          <w:ilvl w:val="0"/>
          <w:numId w:val="4"/>
        </w:numPr>
        <w:rPr>
          <w:b/>
          <w:bCs/>
          <w:i/>
          <w:iCs/>
          <w:sz w:val="36"/>
          <w:szCs w:val="36"/>
        </w:rPr>
      </w:pPr>
      <w:r w:rsidRPr="00BA3D07">
        <w:rPr>
          <w:b/>
          <w:bCs/>
          <w:i/>
          <w:iCs/>
          <w:sz w:val="36"/>
          <w:szCs w:val="36"/>
        </w:rPr>
        <w:t>Conclusion</w:t>
      </w:r>
    </w:p>
    <w:p w:rsidR="0076254F" w:rsidRPr="00BA3D07" w:rsidRDefault="0076254F" w:rsidP="00DB574E">
      <w:pPr>
        <w:pStyle w:val="ListParagraph"/>
        <w:ind w:left="360"/>
        <w:rPr>
          <w:b/>
          <w:bCs/>
          <w:i/>
          <w:iCs/>
          <w:sz w:val="36"/>
          <w:szCs w:val="36"/>
        </w:rPr>
      </w:pPr>
    </w:p>
    <w:p w:rsidR="00BA3D07" w:rsidRPr="00BA3D07" w:rsidRDefault="00BA3D07" w:rsidP="00BA3D07">
      <w:pPr>
        <w:pStyle w:val="ListParagraph"/>
        <w:numPr>
          <w:ilvl w:val="0"/>
          <w:numId w:val="4"/>
        </w:numPr>
        <w:rPr>
          <w:b/>
          <w:bCs/>
          <w:i/>
          <w:iCs/>
          <w:sz w:val="36"/>
          <w:szCs w:val="36"/>
        </w:rPr>
      </w:pPr>
      <w:r w:rsidRPr="00BA3D07">
        <w:rPr>
          <w:b/>
          <w:bCs/>
          <w:i/>
          <w:iCs/>
          <w:sz w:val="36"/>
          <w:szCs w:val="36"/>
        </w:rPr>
        <w:t>References</w:t>
      </w:r>
    </w:p>
    <w:p w:rsidR="00BA3D07" w:rsidRPr="00BA3D07" w:rsidRDefault="00BA3D07" w:rsidP="00BA3D07">
      <w:pPr>
        <w:pStyle w:val="ListParagraph"/>
        <w:ind w:left="1080"/>
        <w:jc w:val="center"/>
        <w:rPr>
          <w:b/>
          <w:bCs/>
          <w:i/>
          <w:iCs/>
          <w:color w:val="FF0000"/>
          <w:sz w:val="36"/>
          <w:szCs w:val="36"/>
        </w:rPr>
      </w:pPr>
    </w:p>
    <w:p w:rsidR="007E23A5" w:rsidRDefault="007E23A5" w:rsidP="005955DA">
      <w:pPr>
        <w:rPr>
          <w:b/>
          <w:bCs/>
          <w:i/>
          <w:iCs/>
          <w:color w:val="FF0000"/>
          <w:sz w:val="36"/>
          <w:szCs w:val="36"/>
        </w:rPr>
      </w:pPr>
    </w:p>
    <w:p w:rsidR="00BA3D07" w:rsidRDefault="00BA3D07" w:rsidP="005955DA">
      <w:pPr>
        <w:rPr>
          <w:b/>
          <w:bCs/>
          <w:i/>
          <w:iCs/>
          <w:color w:val="FF0000"/>
          <w:sz w:val="36"/>
          <w:szCs w:val="36"/>
        </w:rPr>
      </w:pPr>
    </w:p>
    <w:p w:rsidR="00BA3D07" w:rsidRDefault="00BA3D07" w:rsidP="005955DA">
      <w:pPr>
        <w:rPr>
          <w:b/>
          <w:bCs/>
          <w:i/>
          <w:iCs/>
          <w:color w:val="FF0000"/>
          <w:sz w:val="36"/>
          <w:szCs w:val="36"/>
        </w:rPr>
      </w:pPr>
    </w:p>
    <w:p w:rsidR="00BA3D07" w:rsidRDefault="00BA3D07" w:rsidP="005955DA">
      <w:pPr>
        <w:rPr>
          <w:b/>
          <w:bCs/>
          <w:i/>
          <w:iCs/>
          <w:color w:val="FF0000"/>
          <w:sz w:val="36"/>
          <w:szCs w:val="36"/>
        </w:rPr>
      </w:pPr>
    </w:p>
    <w:p w:rsidR="00BA3D07" w:rsidRDefault="00BA3D07" w:rsidP="005955DA">
      <w:pPr>
        <w:rPr>
          <w:b/>
          <w:bCs/>
          <w:i/>
          <w:iCs/>
          <w:color w:val="FF0000"/>
          <w:sz w:val="36"/>
          <w:szCs w:val="36"/>
        </w:rPr>
      </w:pPr>
    </w:p>
    <w:p w:rsidR="00BA3D07" w:rsidRDefault="00BA3D07" w:rsidP="005955DA">
      <w:pPr>
        <w:rPr>
          <w:b/>
          <w:bCs/>
          <w:i/>
          <w:iCs/>
          <w:color w:val="FF0000"/>
          <w:sz w:val="36"/>
          <w:szCs w:val="36"/>
        </w:rPr>
      </w:pPr>
    </w:p>
    <w:p w:rsidR="00522856" w:rsidRDefault="00522856" w:rsidP="005955DA">
      <w:pPr>
        <w:rPr>
          <w:b/>
          <w:bCs/>
          <w:i/>
          <w:iCs/>
          <w:color w:val="FF0000"/>
          <w:sz w:val="36"/>
          <w:szCs w:val="36"/>
        </w:rPr>
      </w:pPr>
    </w:p>
    <w:p w:rsidR="002C01F0" w:rsidRDefault="002C01F0" w:rsidP="005955DA">
      <w:pPr>
        <w:rPr>
          <w:b/>
          <w:bCs/>
          <w:i/>
          <w:iCs/>
          <w:color w:val="FF0000"/>
          <w:sz w:val="36"/>
          <w:szCs w:val="36"/>
        </w:rPr>
      </w:pPr>
      <w:r>
        <w:rPr>
          <w:b/>
          <w:bCs/>
          <w:i/>
          <w:iCs/>
          <w:color w:val="FF0000"/>
          <w:sz w:val="36"/>
          <w:szCs w:val="36"/>
        </w:rPr>
        <w:lastRenderedPageBreak/>
        <w:t>Abstract:</w:t>
      </w:r>
    </w:p>
    <w:p w:rsidR="00C8115E" w:rsidRPr="007110FC" w:rsidRDefault="002C01F0" w:rsidP="00C8115E">
      <w:pPr>
        <w:autoSpaceDE w:val="0"/>
        <w:autoSpaceDN w:val="0"/>
        <w:adjustRightInd w:val="0"/>
        <w:spacing w:after="0" w:line="240" w:lineRule="auto"/>
        <w:rPr>
          <w:rFonts w:ascii="MSTT31c3bb" w:hAnsi="MSTT31c3bb" w:cs="MSTT31c3bb"/>
          <w:sz w:val="20"/>
          <w:szCs w:val="20"/>
        </w:rPr>
      </w:pPr>
      <w:r w:rsidRPr="007110FC">
        <w:rPr>
          <w:rFonts w:asciiTheme="majorBidi" w:hAnsiTheme="majorBidi" w:cstheme="majorBidi"/>
          <w:b/>
          <w:bCs/>
          <w:color w:val="FF0000"/>
          <w:sz w:val="28"/>
          <w:szCs w:val="28"/>
        </w:rPr>
        <w:t>Background –</w:t>
      </w:r>
      <w:r w:rsidRPr="007110FC">
        <w:rPr>
          <w:rFonts w:asciiTheme="majorBidi" w:hAnsiTheme="majorBidi" w:cstheme="majorBidi"/>
          <w:b/>
          <w:bCs/>
          <w:color w:val="000000" w:themeColor="text1"/>
          <w:sz w:val="28"/>
          <w:szCs w:val="28"/>
        </w:rPr>
        <w:t xml:space="preserve">celiac disease is an immune –mediated enteropathy due to a permanent sensitivity to gluten in genetically susceptible people.Iron </w:t>
      </w:r>
      <w:r w:rsidR="00D503E0" w:rsidRPr="007110FC">
        <w:rPr>
          <w:rFonts w:asciiTheme="majorBidi" w:hAnsiTheme="majorBidi" w:cstheme="majorBidi"/>
          <w:b/>
          <w:bCs/>
          <w:color w:val="000000" w:themeColor="text1"/>
          <w:sz w:val="28"/>
          <w:szCs w:val="28"/>
        </w:rPr>
        <w:t>deficiency anemia is the most common experienced anemia in humans.IDA additionally is a common extra-intestinal manifestation of celiac disease</w:t>
      </w:r>
      <w:r w:rsidR="00C8115E" w:rsidRPr="007110FC">
        <w:rPr>
          <w:rFonts w:asciiTheme="majorBidi" w:hAnsiTheme="majorBidi" w:cstheme="majorBidi"/>
          <w:b/>
          <w:bCs/>
          <w:color w:val="000000" w:themeColor="text1"/>
          <w:sz w:val="28"/>
          <w:szCs w:val="28"/>
        </w:rPr>
        <w:t>.</w:t>
      </w:r>
    </w:p>
    <w:p w:rsidR="006D13E1" w:rsidRPr="007110FC" w:rsidRDefault="006D13E1" w:rsidP="006D13E1">
      <w:pPr>
        <w:autoSpaceDE w:val="0"/>
        <w:autoSpaceDN w:val="0"/>
        <w:adjustRightInd w:val="0"/>
        <w:spacing w:after="0" w:line="240" w:lineRule="auto"/>
        <w:rPr>
          <w:rFonts w:ascii="MSTT31c3bb" w:hAnsi="MSTT31c3bb" w:cs="MSTT31c3bb"/>
          <w:color w:val="FF0000"/>
          <w:sz w:val="28"/>
          <w:szCs w:val="28"/>
        </w:rPr>
      </w:pPr>
    </w:p>
    <w:p w:rsidR="002C01F0" w:rsidRPr="007110FC" w:rsidRDefault="00C8115E" w:rsidP="006D13E1">
      <w:pPr>
        <w:autoSpaceDE w:val="0"/>
        <w:autoSpaceDN w:val="0"/>
        <w:adjustRightInd w:val="0"/>
        <w:spacing w:after="0" w:line="240" w:lineRule="auto"/>
        <w:rPr>
          <w:rFonts w:asciiTheme="majorBidi" w:hAnsiTheme="majorBidi" w:cstheme="majorBidi"/>
          <w:b/>
          <w:bCs/>
          <w:sz w:val="28"/>
          <w:szCs w:val="28"/>
        </w:rPr>
      </w:pPr>
      <w:r w:rsidRPr="007110FC">
        <w:rPr>
          <w:rFonts w:asciiTheme="majorBidi" w:hAnsiTheme="majorBidi" w:cstheme="majorBidi"/>
          <w:b/>
          <w:bCs/>
          <w:color w:val="FF0000"/>
          <w:sz w:val="28"/>
          <w:szCs w:val="28"/>
        </w:rPr>
        <w:t>Objective</w:t>
      </w:r>
      <w:r w:rsidRPr="007110FC">
        <w:rPr>
          <w:rFonts w:asciiTheme="majorBidi" w:hAnsiTheme="majorBidi" w:cstheme="majorBidi"/>
          <w:b/>
          <w:bCs/>
          <w:sz w:val="28"/>
          <w:szCs w:val="28"/>
        </w:rPr>
        <w:t>: The aim of this study is to find the prevalence of CD among patients with otherwiseunexplained IDA</w:t>
      </w:r>
      <w:r w:rsidR="006D13E1" w:rsidRPr="007110FC">
        <w:rPr>
          <w:rFonts w:asciiTheme="majorBidi" w:hAnsiTheme="majorBidi" w:cstheme="majorBidi"/>
          <w:b/>
          <w:bCs/>
          <w:sz w:val="28"/>
          <w:szCs w:val="28"/>
        </w:rPr>
        <w:t>, to determine the sensitivity of endoscopy to detect celiac disease .and to identify the GIT causes of anemia in those patients.</w:t>
      </w:r>
    </w:p>
    <w:p w:rsidR="006D13E1" w:rsidRPr="007110FC" w:rsidRDefault="006D13E1" w:rsidP="006D13E1">
      <w:pPr>
        <w:autoSpaceDE w:val="0"/>
        <w:autoSpaceDN w:val="0"/>
        <w:adjustRightInd w:val="0"/>
        <w:spacing w:after="0" w:line="240" w:lineRule="auto"/>
        <w:rPr>
          <w:rFonts w:asciiTheme="majorBidi" w:hAnsiTheme="majorBidi" w:cstheme="majorBidi"/>
          <w:b/>
          <w:bCs/>
          <w:sz w:val="28"/>
          <w:szCs w:val="28"/>
        </w:rPr>
      </w:pPr>
    </w:p>
    <w:p w:rsidR="006D13E1" w:rsidRPr="007110FC" w:rsidRDefault="006D13E1" w:rsidP="006D13E1">
      <w:pPr>
        <w:autoSpaceDE w:val="0"/>
        <w:autoSpaceDN w:val="0"/>
        <w:adjustRightInd w:val="0"/>
        <w:spacing w:after="0" w:line="240" w:lineRule="auto"/>
        <w:rPr>
          <w:rFonts w:asciiTheme="majorBidi" w:hAnsiTheme="majorBidi" w:cstheme="majorBidi"/>
          <w:b/>
          <w:bCs/>
          <w:sz w:val="28"/>
          <w:szCs w:val="28"/>
        </w:rPr>
      </w:pPr>
      <w:r w:rsidRPr="007110FC">
        <w:rPr>
          <w:rFonts w:asciiTheme="majorBidi" w:hAnsiTheme="majorBidi" w:cstheme="majorBidi"/>
          <w:b/>
          <w:bCs/>
          <w:sz w:val="28"/>
          <w:szCs w:val="28"/>
        </w:rPr>
        <w:t xml:space="preserve">Setting: </w:t>
      </w:r>
      <w:r w:rsidR="001B062F" w:rsidRPr="007110FC">
        <w:rPr>
          <w:rFonts w:asciiTheme="majorBidi" w:hAnsiTheme="majorBidi" w:cstheme="majorBidi"/>
          <w:b/>
          <w:bCs/>
          <w:sz w:val="28"/>
          <w:szCs w:val="28"/>
        </w:rPr>
        <w:t xml:space="preserve">Al-Nasirrhea &amp; </w:t>
      </w:r>
      <w:r w:rsidRPr="007110FC">
        <w:rPr>
          <w:rFonts w:asciiTheme="majorBidi" w:hAnsiTheme="majorBidi" w:cstheme="majorBidi"/>
          <w:b/>
          <w:bCs/>
          <w:sz w:val="28"/>
          <w:szCs w:val="28"/>
        </w:rPr>
        <w:t xml:space="preserve"> Al-Hussien Teaching Hospitals in Thi-Qar  for the period from  Augest to December2018.</w:t>
      </w:r>
    </w:p>
    <w:p w:rsidR="00557E9F" w:rsidRPr="007110FC" w:rsidRDefault="00557E9F" w:rsidP="00557E9F">
      <w:pPr>
        <w:autoSpaceDE w:val="0"/>
        <w:autoSpaceDN w:val="0"/>
        <w:adjustRightInd w:val="0"/>
        <w:spacing w:after="0" w:line="240" w:lineRule="auto"/>
        <w:rPr>
          <w:rFonts w:ascii="MSTT31c3bb" w:hAnsi="MSTT31c3bb" w:cs="MSTT31c3bb"/>
          <w:b/>
          <w:bCs/>
          <w:sz w:val="28"/>
          <w:szCs w:val="28"/>
        </w:rPr>
      </w:pPr>
    </w:p>
    <w:p w:rsidR="006D13E1" w:rsidRPr="007110FC" w:rsidRDefault="00557E9F" w:rsidP="00557E9F">
      <w:pPr>
        <w:autoSpaceDE w:val="0"/>
        <w:autoSpaceDN w:val="0"/>
        <w:adjustRightInd w:val="0"/>
        <w:spacing w:after="0" w:line="240" w:lineRule="auto"/>
        <w:rPr>
          <w:rFonts w:ascii="MSTT31c3a3" w:hAnsi="MSTT31c3a3" w:cs="MSTT31c3a3"/>
          <w:b/>
          <w:bCs/>
          <w:sz w:val="28"/>
          <w:szCs w:val="28"/>
        </w:rPr>
      </w:pPr>
      <w:r w:rsidRPr="007110FC">
        <w:rPr>
          <w:rFonts w:ascii="MSTT31c3bb" w:hAnsi="MSTT31c3bb" w:cs="MSTT31c3bb"/>
          <w:b/>
          <w:bCs/>
          <w:color w:val="FF0000"/>
          <w:sz w:val="28"/>
          <w:szCs w:val="28"/>
        </w:rPr>
        <w:t>Methods</w:t>
      </w:r>
      <w:r w:rsidRPr="007110FC">
        <w:rPr>
          <w:rFonts w:ascii="MSTT31c3bb" w:hAnsi="MSTT31c3bb" w:cs="MSTT31c3bb"/>
          <w:b/>
          <w:bCs/>
          <w:sz w:val="28"/>
          <w:szCs w:val="28"/>
        </w:rPr>
        <w:t xml:space="preserve">: </w:t>
      </w:r>
      <w:r w:rsidRPr="007110FC">
        <w:rPr>
          <w:rFonts w:ascii="MSTT31c3a3" w:hAnsi="MSTT31c3a3" w:cs="MSTT31c3a3"/>
          <w:b/>
          <w:bCs/>
          <w:sz w:val="28"/>
          <w:szCs w:val="28"/>
        </w:rPr>
        <w:t xml:space="preserve">This was a cross sectional study of patients with IDA. </w:t>
      </w:r>
      <w:r w:rsidR="001B062F" w:rsidRPr="007110FC">
        <w:rPr>
          <w:rFonts w:ascii="MSTT31c3a3" w:hAnsi="MSTT31c3a3" w:cs="MSTT31c3a3"/>
          <w:b/>
          <w:bCs/>
          <w:sz w:val="28"/>
          <w:szCs w:val="28"/>
        </w:rPr>
        <w:t xml:space="preserve">Esophageo </w:t>
      </w:r>
      <w:r w:rsidRPr="007110FC">
        <w:rPr>
          <w:rFonts w:ascii="MSTT31c3a3" w:hAnsi="MSTT31c3a3" w:cs="MSTT31c3a3"/>
          <w:b/>
          <w:bCs/>
          <w:sz w:val="28"/>
          <w:szCs w:val="28"/>
        </w:rPr>
        <w:t>Gastroduodenoscopy&amp; colonoscopy  were  performed</w:t>
      </w:r>
    </w:p>
    <w:p w:rsidR="00557E9F" w:rsidRPr="007110FC" w:rsidRDefault="006D13E1" w:rsidP="00557E9F">
      <w:pPr>
        <w:autoSpaceDE w:val="0"/>
        <w:autoSpaceDN w:val="0"/>
        <w:adjustRightInd w:val="0"/>
        <w:spacing w:after="0" w:line="240" w:lineRule="auto"/>
        <w:rPr>
          <w:rFonts w:ascii="MSTT31c3a3" w:hAnsi="MSTT31c3a3" w:cs="MSTT31c3a3"/>
          <w:b/>
          <w:bCs/>
          <w:sz w:val="28"/>
          <w:szCs w:val="28"/>
        </w:rPr>
      </w:pPr>
      <w:r w:rsidRPr="007110FC">
        <w:rPr>
          <w:rFonts w:ascii="MSTT31c3a3" w:hAnsi="MSTT31c3a3" w:cs="MSTT31c3a3"/>
          <w:b/>
          <w:bCs/>
          <w:sz w:val="28"/>
          <w:szCs w:val="28"/>
        </w:rPr>
        <w:t xml:space="preserve">to determine the cause of anemia. Four </w:t>
      </w:r>
      <w:r w:rsidR="00557E9F" w:rsidRPr="007110FC">
        <w:rPr>
          <w:rFonts w:ascii="MSTT31c3a3" w:hAnsi="MSTT31c3a3" w:cs="MSTT31c3a3"/>
          <w:b/>
          <w:bCs/>
          <w:sz w:val="28"/>
          <w:szCs w:val="28"/>
        </w:rPr>
        <w:t xml:space="preserve"> to six </w:t>
      </w:r>
      <w:r w:rsidRPr="007110FC">
        <w:rPr>
          <w:rFonts w:ascii="MSTT31c3a3" w:hAnsi="MSTT31c3a3" w:cs="MSTT31c3a3"/>
          <w:b/>
          <w:bCs/>
          <w:sz w:val="28"/>
          <w:szCs w:val="28"/>
        </w:rPr>
        <w:t>biopsies were taken from the second part ofduodenum. Small intestinal histologic features were</w:t>
      </w:r>
      <w:r w:rsidR="00557E9F" w:rsidRPr="007110FC">
        <w:rPr>
          <w:rFonts w:ascii="MSTT31c3a3" w:hAnsi="MSTT31c3a3" w:cs="MSTT31c3a3"/>
          <w:b/>
          <w:bCs/>
          <w:sz w:val="28"/>
          <w:szCs w:val="28"/>
        </w:rPr>
        <w:t xml:space="preserve"> interpreted according to the modified </w:t>
      </w:r>
      <w:r w:rsidRPr="007110FC">
        <w:rPr>
          <w:rFonts w:ascii="MSTT31c3a3" w:hAnsi="MSTT31c3a3" w:cs="MSTT31c3a3"/>
          <w:b/>
          <w:bCs/>
          <w:sz w:val="28"/>
          <w:szCs w:val="28"/>
        </w:rPr>
        <w:t xml:space="preserve"> Marshcriteria</w:t>
      </w:r>
      <w:r w:rsidR="00557E9F" w:rsidRPr="007110FC">
        <w:rPr>
          <w:rFonts w:ascii="MSTT31c3a3" w:hAnsi="MSTT31c3a3" w:cs="MSTT31c3a3"/>
          <w:b/>
          <w:bCs/>
          <w:sz w:val="28"/>
          <w:szCs w:val="28"/>
        </w:rPr>
        <w:t>. Total number of patients was 308 ,</w:t>
      </w:r>
    </w:p>
    <w:p w:rsidR="006D13E1" w:rsidRPr="007110FC" w:rsidRDefault="00557E9F" w:rsidP="00557E9F">
      <w:pPr>
        <w:autoSpaceDE w:val="0"/>
        <w:autoSpaceDN w:val="0"/>
        <w:adjustRightInd w:val="0"/>
        <w:spacing w:after="0" w:line="240" w:lineRule="auto"/>
        <w:rPr>
          <w:rFonts w:ascii="MSTT31c3a3" w:hAnsi="MSTT31c3a3" w:cs="MSTT31c3a3"/>
          <w:b/>
          <w:bCs/>
          <w:sz w:val="28"/>
          <w:szCs w:val="28"/>
        </w:rPr>
      </w:pPr>
      <w:r w:rsidRPr="007110FC">
        <w:rPr>
          <w:rFonts w:ascii="MSTT31c3a3" w:hAnsi="MSTT31c3a3" w:cs="MSTT31c3a3"/>
          <w:b/>
          <w:bCs/>
          <w:sz w:val="28"/>
          <w:szCs w:val="28"/>
        </w:rPr>
        <w:t xml:space="preserve">82  males and 226 </w:t>
      </w:r>
      <w:r w:rsidR="006D13E1" w:rsidRPr="007110FC">
        <w:rPr>
          <w:rFonts w:ascii="MSTT31c3a3" w:hAnsi="MSTT31c3a3" w:cs="MSTT31c3a3"/>
          <w:b/>
          <w:bCs/>
          <w:sz w:val="28"/>
          <w:szCs w:val="28"/>
        </w:rPr>
        <w:t xml:space="preserve"> females</w:t>
      </w:r>
      <w:r w:rsidRPr="007110FC">
        <w:rPr>
          <w:rFonts w:ascii="MSTT31c3a3" w:hAnsi="MSTT31c3a3" w:cs="MSTT31c3a3"/>
          <w:b/>
          <w:bCs/>
          <w:sz w:val="28"/>
          <w:szCs w:val="28"/>
        </w:rPr>
        <w:t xml:space="preserve"> . in all age groups.</w:t>
      </w:r>
    </w:p>
    <w:p w:rsidR="00557E9F" w:rsidRPr="007110FC" w:rsidRDefault="00557E9F" w:rsidP="00557E9F">
      <w:pPr>
        <w:autoSpaceDE w:val="0"/>
        <w:autoSpaceDN w:val="0"/>
        <w:adjustRightInd w:val="0"/>
        <w:spacing w:after="0" w:line="240" w:lineRule="auto"/>
        <w:rPr>
          <w:rFonts w:ascii="MSTT31c3a3" w:hAnsi="MSTT31c3a3" w:cs="MSTT31c3a3"/>
          <w:b/>
          <w:bCs/>
          <w:sz w:val="28"/>
          <w:szCs w:val="28"/>
        </w:rPr>
      </w:pPr>
    </w:p>
    <w:p w:rsidR="00B66BB0" w:rsidRPr="007110FC" w:rsidRDefault="00B66BB0" w:rsidP="00B66BB0">
      <w:pPr>
        <w:autoSpaceDE w:val="0"/>
        <w:autoSpaceDN w:val="0"/>
        <w:adjustRightInd w:val="0"/>
        <w:spacing w:after="0" w:line="240" w:lineRule="auto"/>
        <w:rPr>
          <w:rFonts w:asciiTheme="majorBidi" w:hAnsiTheme="majorBidi" w:cstheme="majorBidi"/>
          <w:b/>
          <w:bCs/>
          <w:sz w:val="28"/>
          <w:szCs w:val="28"/>
        </w:rPr>
      </w:pPr>
      <w:r w:rsidRPr="007110FC">
        <w:rPr>
          <w:rFonts w:asciiTheme="majorBidi" w:hAnsiTheme="majorBidi" w:cstheme="majorBidi"/>
          <w:b/>
          <w:bCs/>
          <w:color w:val="FF0000"/>
          <w:sz w:val="28"/>
          <w:szCs w:val="28"/>
        </w:rPr>
        <w:t>Results</w:t>
      </w:r>
      <w:r w:rsidRPr="007110FC">
        <w:rPr>
          <w:rFonts w:asciiTheme="majorBidi" w:hAnsiTheme="majorBidi" w:cstheme="majorBidi"/>
          <w:b/>
          <w:bCs/>
          <w:sz w:val="28"/>
          <w:szCs w:val="28"/>
        </w:rPr>
        <w:t>: 78 of 308 patients (25</w:t>
      </w:r>
      <w:r w:rsidR="001B062F" w:rsidRPr="007110FC">
        <w:rPr>
          <w:rFonts w:asciiTheme="majorBidi" w:hAnsiTheme="majorBidi" w:cstheme="majorBidi"/>
          <w:b/>
          <w:bCs/>
          <w:sz w:val="28"/>
          <w:szCs w:val="28"/>
        </w:rPr>
        <w:t>.3</w:t>
      </w:r>
      <w:r w:rsidRPr="007110FC">
        <w:rPr>
          <w:rFonts w:asciiTheme="majorBidi" w:hAnsiTheme="majorBidi" w:cstheme="majorBidi"/>
          <w:b/>
          <w:bCs/>
          <w:sz w:val="28"/>
          <w:szCs w:val="28"/>
        </w:rPr>
        <w:t>%) had biopsy result consistent with CD. Most CD patients were at between</w:t>
      </w:r>
    </w:p>
    <w:p w:rsidR="001C23D1" w:rsidRPr="007110FC" w:rsidRDefault="00B66BB0" w:rsidP="00B66BB0">
      <w:pPr>
        <w:autoSpaceDE w:val="0"/>
        <w:autoSpaceDN w:val="0"/>
        <w:adjustRightInd w:val="0"/>
        <w:spacing w:after="0" w:line="240" w:lineRule="auto"/>
        <w:rPr>
          <w:rFonts w:asciiTheme="majorBidi" w:hAnsiTheme="majorBidi" w:cstheme="majorBidi"/>
          <w:b/>
          <w:bCs/>
          <w:sz w:val="28"/>
          <w:szCs w:val="28"/>
        </w:rPr>
      </w:pPr>
      <w:r w:rsidRPr="007110FC">
        <w:rPr>
          <w:rFonts w:asciiTheme="majorBidi" w:hAnsiTheme="majorBidi" w:cstheme="majorBidi"/>
          <w:b/>
          <w:bCs/>
          <w:sz w:val="28"/>
          <w:szCs w:val="28"/>
        </w:rPr>
        <w:t>15 and 45 years(72 %) , 23% were bove 45 year of age. And 4.5% below !5</w:t>
      </w:r>
    </w:p>
    <w:p w:rsidR="00B66BB0" w:rsidRPr="007110FC" w:rsidRDefault="001C23D1" w:rsidP="00B66BB0">
      <w:pPr>
        <w:autoSpaceDE w:val="0"/>
        <w:autoSpaceDN w:val="0"/>
        <w:adjustRightInd w:val="0"/>
        <w:spacing w:after="0" w:line="240" w:lineRule="auto"/>
        <w:rPr>
          <w:rFonts w:asciiTheme="majorBidi" w:hAnsiTheme="majorBidi" w:cstheme="majorBidi"/>
          <w:b/>
          <w:bCs/>
          <w:sz w:val="28"/>
          <w:szCs w:val="28"/>
        </w:rPr>
      </w:pPr>
      <w:r w:rsidRPr="007110FC">
        <w:rPr>
          <w:rFonts w:asciiTheme="majorBidi" w:hAnsiTheme="majorBidi" w:cstheme="majorBidi"/>
          <w:b/>
          <w:bCs/>
          <w:sz w:val="28"/>
          <w:szCs w:val="28"/>
        </w:rPr>
        <w:t xml:space="preserve">Out of 78 </w:t>
      </w:r>
      <w:r w:rsidR="00B66BB0" w:rsidRPr="007110FC">
        <w:rPr>
          <w:rFonts w:asciiTheme="majorBidi" w:hAnsiTheme="majorBidi" w:cstheme="majorBidi"/>
          <w:b/>
          <w:bCs/>
          <w:sz w:val="28"/>
          <w:szCs w:val="28"/>
        </w:rPr>
        <w:t xml:space="preserve"> CD patie</w:t>
      </w:r>
      <w:r w:rsidRPr="007110FC">
        <w:rPr>
          <w:rFonts w:asciiTheme="majorBidi" w:hAnsiTheme="majorBidi" w:cstheme="majorBidi"/>
          <w:b/>
          <w:bCs/>
          <w:sz w:val="28"/>
          <w:szCs w:val="28"/>
        </w:rPr>
        <w:t xml:space="preserve">nts, 35 </w:t>
      </w:r>
      <w:r w:rsidR="00B66BB0" w:rsidRPr="007110FC">
        <w:rPr>
          <w:rFonts w:asciiTheme="majorBidi" w:hAnsiTheme="majorBidi" w:cstheme="majorBidi"/>
          <w:b/>
          <w:bCs/>
          <w:sz w:val="28"/>
          <w:szCs w:val="28"/>
        </w:rPr>
        <w:t>were</w:t>
      </w:r>
    </w:p>
    <w:p w:rsidR="00C8115E" w:rsidRPr="007110FC" w:rsidRDefault="001C23D1" w:rsidP="00B66BB0">
      <w:pPr>
        <w:rPr>
          <w:rFonts w:asciiTheme="majorBidi" w:hAnsiTheme="majorBidi" w:cstheme="majorBidi"/>
          <w:b/>
          <w:bCs/>
          <w:color w:val="000000" w:themeColor="text1"/>
          <w:sz w:val="28"/>
          <w:szCs w:val="28"/>
        </w:rPr>
      </w:pPr>
      <w:r w:rsidRPr="007110FC">
        <w:rPr>
          <w:rFonts w:asciiTheme="majorBidi" w:hAnsiTheme="majorBidi" w:cstheme="majorBidi"/>
          <w:b/>
          <w:bCs/>
          <w:sz w:val="28"/>
          <w:szCs w:val="28"/>
        </w:rPr>
        <w:t>having Marsh grade III A ,23 had Marsh III B ,1</w:t>
      </w:r>
      <w:r w:rsidR="00B66BB0" w:rsidRPr="007110FC">
        <w:rPr>
          <w:rFonts w:asciiTheme="majorBidi" w:hAnsiTheme="majorBidi" w:cstheme="majorBidi"/>
          <w:b/>
          <w:bCs/>
          <w:sz w:val="28"/>
          <w:szCs w:val="28"/>
        </w:rPr>
        <w:t>4 with Marsh grade IIIC</w:t>
      </w:r>
      <w:r w:rsidRPr="007110FC">
        <w:rPr>
          <w:rFonts w:asciiTheme="majorBidi" w:hAnsiTheme="majorBidi" w:cstheme="majorBidi"/>
          <w:b/>
          <w:bCs/>
          <w:sz w:val="28"/>
          <w:szCs w:val="28"/>
        </w:rPr>
        <w:t xml:space="preserve">, 5with Marsh II and one patients had Marsh I. Twenty were males and fifty-eight </w:t>
      </w:r>
      <w:r w:rsidR="00B66BB0" w:rsidRPr="007110FC">
        <w:rPr>
          <w:rFonts w:asciiTheme="majorBidi" w:hAnsiTheme="majorBidi" w:cstheme="majorBidi"/>
          <w:b/>
          <w:bCs/>
          <w:sz w:val="28"/>
          <w:szCs w:val="28"/>
        </w:rPr>
        <w:t xml:space="preserve"> were females</w:t>
      </w:r>
      <w:r w:rsidRPr="007110FC">
        <w:rPr>
          <w:rFonts w:asciiTheme="majorBidi" w:hAnsiTheme="majorBidi" w:cstheme="majorBidi"/>
          <w:b/>
          <w:bCs/>
          <w:color w:val="000000" w:themeColor="text1"/>
          <w:sz w:val="28"/>
          <w:szCs w:val="28"/>
        </w:rPr>
        <w:t>.</w:t>
      </w:r>
    </w:p>
    <w:p w:rsidR="002C01F0" w:rsidRPr="007110FC" w:rsidRDefault="009B1AA6" w:rsidP="009B1AA6">
      <w:pPr>
        <w:autoSpaceDE w:val="0"/>
        <w:autoSpaceDN w:val="0"/>
        <w:adjustRightInd w:val="0"/>
        <w:spacing w:after="0" w:line="240" w:lineRule="auto"/>
        <w:rPr>
          <w:rFonts w:asciiTheme="majorBidi" w:hAnsiTheme="majorBidi" w:cstheme="majorBidi"/>
          <w:b/>
          <w:bCs/>
          <w:sz w:val="28"/>
          <w:szCs w:val="28"/>
        </w:rPr>
      </w:pPr>
      <w:r w:rsidRPr="007110FC">
        <w:rPr>
          <w:rFonts w:asciiTheme="majorBidi" w:hAnsiTheme="majorBidi" w:cstheme="majorBidi"/>
          <w:b/>
          <w:bCs/>
          <w:color w:val="FF0000"/>
          <w:sz w:val="28"/>
          <w:szCs w:val="28"/>
        </w:rPr>
        <w:t>Conclusion</w:t>
      </w:r>
      <w:r w:rsidRPr="007110FC">
        <w:rPr>
          <w:rFonts w:asciiTheme="majorBidi" w:hAnsiTheme="majorBidi" w:cstheme="majorBidi"/>
          <w:b/>
          <w:bCs/>
          <w:sz w:val="28"/>
          <w:szCs w:val="28"/>
        </w:rPr>
        <w:t>:Clinicians should consider celiac disease as a possible cause of anemia in all patientswith iron deficiency anemia of obscure origin, even in menstruating women. Serologic screening tests should be performed in premenopausalwomen with iron deficiency anemia, especially when anemia is refractory to oral iron treatment All patients with other wise unexplained IDA should have upper gastrointestinal endoscopywith at least four biopsies from the duodenum to exclude CD.</w:t>
      </w:r>
    </w:p>
    <w:p w:rsidR="002C01F0" w:rsidRDefault="002C01F0" w:rsidP="005955DA">
      <w:pPr>
        <w:rPr>
          <w:b/>
          <w:bCs/>
          <w:i/>
          <w:iCs/>
          <w:color w:val="FF0000"/>
          <w:sz w:val="36"/>
          <w:szCs w:val="36"/>
        </w:rPr>
      </w:pPr>
    </w:p>
    <w:p w:rsidR="00522856" w:rsidRDefault="00522856" w:rsidP="005955DA">
      <w:pPr>
        <w:rPr>
          <w:b/>
          <w:bCs/>
          <w:i/>
          <w:iCs/>
          <w:color w:val="FF0000"/>
          <w:sz w:val="36"/>
          <w:szCs w:val="36"/>
        </w:rPr>
      </w:pPr>
    </w:p>
    <w:p w:rsidR="00D842AE" w:rsidRPr="00D842AE" w:rsidRDefault="00D842AE" w:rsidP="005955DA">
      <w:pPr>
        <w:rPr>
          <w:b/>
          <w:bCs/>
          <w:i/>
          <w:iCs/>
          <w:color w:val="FF0000"/>
          <w:sz w:val="36"/>
          <w:szCs w:val="36"/>
        </w:rPr>
      </w:pPr>
      <w:r w:rsidRPr="00D842AE">
        <w:rPr>
          <w:b/>
          <w:bCs/>
          <w:i/>
          <w:iCs/>
          <w:color w:val="FF0000"/>
          <w:sz w:val="36"/>
          <w:szCs w:val="36"/>
        </w:rPr>
        <w:t>Introduction</w:t>
      </w:r>
    </w:p>
    <w:p w:rsidR="00FF156C" w:rsidRPr="00A961CA" w:rsidRDefault="00FF156C" w:rsidP="008C6589">
      <w:pPr>
        <w:rPr>
          <w:rFonts w:cstheme="majorBidi"/>
          <w:b/>
          <w:bCs/>
          <w:sz w:val="28"/>
          <w:szCs w:val="28"/>
        </w:rPr>
      </w:pPr>
      <w:r w:rsidRPr="00A961CA">
        <w:rPr>
          <w:rFonts w:cstheme="majorBidi"/>
          <w:b/>
          <w:bCs/>
          <w:sz w:val="28"/>
          <w:szCs w:val="28"/>
        </w:rPr>
        <w:t xml:space="preserve">Celiac disease is a chronic, small intestinal, immune-mediatedenteropathy that is precipitated by dietary gluten in genetically predisposed </w:t>
      </w:r>
      <w:r w:rsidR="00FB706F" w:rsidRPr="00A961CA">
        <w:rPr>
          <w:rFonts w:cstheme="majorBidi"/>
          <w:b/>
          <w:bCs/>
          <w:sz w:val="28"/>
          <w:szCs w:val="28"/>
        </w:rPr>
        <w:t>individual</w:t>
      </w:r>
      <w:r w:rsidR="00AF2E30" w:rsidRPr="00A961CA">
        <w:rPr>
          <w:rStyle w:val="FootnoteReference"/>
          <w:rFonts w:cstheme="majorBidi"/>
          <w:b/>
          <w:bCs/>
          <w:sz w:val="28"/>
          <w:szCs w:val="28"/>
        </w:rPr>
        <w:footnoteReference w:id="1"/>
      </w:r>
      <w:r w:rsidR="00AF2E30" w:rsidRPr="00A961CA">
        <w:rPr>
          <w:rFonts w:cstheme="majorBidi"/>
          <w:b/>
          <w:bCs/>
          <w:sz w:val="28"/>
          <w:szCs w:val="28"/>
        </w:rPr>
        <w:t>.Gluten is the commonly usedterm for the complex of water-insoluble proteins from wheat,rye, and barley that is harmful to patients with celiac disease.Celiac disease is characterized by villus atrophy of the smallintestinal mucosa associated with malabsorption of nutrients,prompt clinical and subsequent histologic</w:t>
      </w:r>
      <w:r w:rsidR="00C62F3A" w:rsidRPr="00A961CA">
        <w:rPr>
          <w:rFonts w:cstheme="majorBidi"/>
          <w:b/>
          <w:bCs/>
          <w:sz w:val="28"/>
          <w:szCs w:val="28"/>
        </w:rPr>
        <w:t xml:space="preserve">al </w:t>
      </w:r>
      <w:r w:rsidR="00AF2E30" w:rsidRPr="00A961CA">
        <w:rPr>
          <w:rFonts w:cstheme="majorBidi"/>
          <w:b/>
          <w:bCs/>
          <w:sz w:val="28"/>
          <w:szCs w:val="28"/>
        </w:rPr>
        <w:t xml:space="preserve"> improvementafter strict adherence to a gluten-free diet (GFD), and clinicaland histologic</w:t>
      </w:r>
      <w:r w:rsidR="00C62F3A" w:rsidRPr="00A961CA">
        <w:rPr>
          <w:rFonts w:cstheme="majorBidi"/>
          <w:b/>
          <w:bCs/>
          <w:sz w:val="28"/>
          <w:szCs w:val="28"/>
        </w:rPr>
        <w:t>al</w:t>
      </w:r>
      <w:r w:rsidR="00AF2E30" w:rsidRPr="00A961CA">
        <w:rPr>
          <w:rFonts w:cstheme="majorBidi"/>
          <w:b/>
          <w:bCs/>
          <w:sz w:val="28"/>
          <w:szCs w:val="28"/>
        </w:rPr>
        <w:t xml:space="preserve"> relapse when gluten is reintroduced</w:t>
      </w:r>
      <w:r w:rsidR="00AF2E30" w:rsidRPr="00A961CA">
        <w:rPr>
          <w:rStyle w:val="FootnoteReference"/>
          <w:rFonts w:cstheme="majorBidi"/>
          <w:b/>
          <w:bCs/>
          <w:sz w:val="28"/>
          <w:szCs w:val="28"/>
        </w:rPr>
        <w:footnoteReference w:id="2"/>
      </w:r>
      <w:r w:rsidR="00AF2E30" w:rsidRPr="00A961CA">
        <w:rPr>
          <w:rFonts w:cstheme="majorBidi"/>
          <w:b/>
          <w:bCs/>
          <w:sz w:val="28"/>
          <w:szCs w:val="28"/>
        </w:rPr>
        <w:t xml:space="preserve">.Traditionally patients with CD presented with malabsorptiondominated by </w:t>
      </w:r>
      <w:r w:rsidR="00852A00" w:rsidRPr="00A961CA">
        <w:rPr>
          <w:rFonts w:cstheme="majorBidi"/>
          <w:b/>
          <w:bCs/>
          <w:sz w:val="28"/>
          <w:szCs w:val="28"/>
        </w:rPr>
        <w:t xml:space="preserve">diarrhea </w:t>
      </w:r>
      <w:r w:rsidR="00AF2E30" w:rsidRPr="00A961CA">
        <w:rPr>
          <w:rFonts w:cstheme="majorBidi"/>
          <w:b/>
          <w:bCs/>
          <w:sz w:val="28"/>
          <w:szCs w:val="28"/>
        </w:rPr>
        <w:t>, steatorrhoea, weight loss or failure to</w:t>
      </w:r>
      <w:r w:rsidR="001835B2" w:rsidRPr="00A961CA">
        <w:rPr>
          <w:rFonts w:cstheme="majorBidi"/>
          <w:b/>
          <w:bCs/>
          <w:sz w:val="28"/>
          <w:szCs w:val="28"/>
        </w:rPr>
        <w:t>thrive (‘classical CD’)</w:t>
      </w:r>
      <w:r w:rsidR="001835B2" w:rsidRPr="00A961CA">
        <w:rPr>
          <w:rStyle w:val="FootnoteReference"/>
          <w:rFonts w:cstheme="majorBidi"/>
          <w:b/>
          <w:bCs/>
          <w:sz w:val="28"/>
          <w:szCs w:val="28"/>
        </w:rPr>
        <w:footnoteReference w:id="3"/>
      </w:r>
      <w:r w:rsidR="00AF2E30" w:rsidRPr="00A961CA">
        <w:rPr>
          <w:rFonts w:cstheme="majorBidi"/>
          <w:b/>
          <w:bCs/>
          <w:sz w:val="28"/>
          <w:szCs w:val="28"/>
        </w:rPr>
        <w:t xml:space="preserve"> but over time the proportion of newlydiagnosed</w:t>
      </w:r>
      <w:r w:rsidR="00852A00" w:rsidRPr="00A961CA">
        <w:rPr>
          <w:rFonts w:cstheme="majorBidi"/>
          <w:b/>
          <w:bCs/>
          <w:sz w:val="28"/>
          <w:szCs w:val="28"/>
        </w:rPr>
        <w:t>patient</w:t>
      </w:r>
      <w:r w:rsidR="001835B2" w:rsidRPr="00A961CA">
        <w:rPr>
          <w:rFonts w:cstheme="majorBidi"/>
          <w:b/>
          <w:bCs/>
          <w:sz w:val="28"/>
          <w:szCs w:val="28"/>
        </w:rPr>
        <w:t xml:space="preserve">s </w:t>
      </w:r>
      <w:r w:rsidR="00852A00" w:rsidRPr="00A961CA">
        <w:rPr>
          <w:rFonts w:cstheme="majorBidi"/>
          <w:b/>
          <w:bCs/>
          <w:sz w:val="28"/>
          <w:szCs w:val="28"/>
        </w:rPr>
        <w:t>withmalabsorptivesymptomshas</w:t>
      </w:r>
      <w:r w:rsidR="001835B2" w:rsidRPr="00A961CA">
        <w:rPr>
          <w:rFonts w:cstheme="majorBidi"/>
          <w:b/>
          <w:bCs/>
          <w:sz w:val="28"/>
          <w:szCs w:val="28"/>
        </w:rPr>
        <w:t>’</w:t>
      </w:r>
      <w:r w:rsidR="00852A00" w:rsidRPr="00A961CA">
        <w:rPr>
          <w:rFonts w:cstheme="majorBidi"/>
          <w:b/>
          <w:bCs/>
          <w:sz w:val="28"/>
          <w:szCs w:val="28"/>
        </w:rPr>
        <w:t>decreased</w:t>
      </w:r>
      <w:r w:rsidR="001835B2" w:rsidRPr="00A961CA">
        <w:rPr>
          <w:rStyle w:val="FootnoteReference"/>
          <w:rFonts w:cstheme="majorBidi"/>
          <w:b/>
          <w:bCs/>
          <w:sz w:val="28"/>
          <w:szCs w:val="28"/>
        </w:rPr>
        <w:footnoteReference w:id="4"/>
      </w:r>
      <w:r w:rsidR="00852A00" w:rsidRPr="00A961CA">
        <w:rPr>
          <w:rFonts w:cstheme="majorBidi"/>
          <w:b/>
          <w:bCs/>
          <w:sz w:val="28"/>
          <w:szCs w:val="28"/>
        </w:rPr>
        <w:t>,and ‘non-classical including anaemia</w:t>
      </w:r>
      <w:r w:rsidR="001B062F">
        <w:rPr>
          <w:rFonts w:cstheme="majorBidi"/>
          <w:b/>
          <w:bCs/>
          <w:sz w:val="28"/>
          <w:szCs w:val="28"/>
        </w:rPr>
        <w:t xml:space="preserve"> </w:t>
      </w:r>
      <w:r w:rsidR="00852A00" w:rsidRPr="00A961CA">
        <w:rPr>
          <w:rFonts w:cstheme="majorBidi"/>
          <w:b/>
          <w:bCs/>
          <w:sz w:val="28"/>
          <w:szCs w:val="28"/>
        </w:rPr>
        <w:t>,</w:t>
      </w:r>
      <w:r w:rsidR="001B062F">
        <w:rPr>
          <w:rFonts w:cstheme="majorBidi"/>
          <w:b/>
          <w:bCs/>
          <w:sz w:val="28"/>
          <w:szCs w:val="28"/>
        </w:rPr>
        <w:t xml:space="preserve"> </w:t>
      </w:r>
      <w:r w:rsidR="00852A00" w:rsidRPr="00A961CA">
        <w:rPr>
          <w:rFonts w:cstheme="majorBidi"/>
          <w:b/>
          <w:bCs/>
          <w:sz w:val="28"/>
          <w:szCs w:val="28"/>
        </w:rPr>
        <w:t>vague abdominal symptoms (often similar</w:t>
      </w:r>
      <w:r w:rsidR="001835B2" w:rsidRPr="00A961CA">
        <w:rPr>
          <w:rFonts w:cstheme="majorBidi"/>
          <w:b/>
          <w:bCs/>
          <w:sz w:val="28"/>
          <w:szCs w:val="28"/>
        </w:rPr>
        <w:t>)</w:t>
      </w:r>
      <w:r w:rsidR="00852A00" w:rsidRPr="00A961CA">
        <w:rPr>
          <w:rFonts w:cstheme="majorBidi"/>
          <w:b/>
          <w:bCs/>
          <w:sz w:val="28"/>
          <w:szCs w:val="28"/>
        </w:rPr>
        <w:t>to irritable bowel syndrome (IBS</w:t>
      </w:r>
      <w:r w:rsidR="001B062F">
        <w:rPr>
          <w:rFonts w:cstheme="majorBidi"/>
          <w:b/>
          <w:bCs/>
          <w:sz w:val="28"/>
          <w:szCs w:val="28"/>
        </w:rPr>
        <w:t xml:space="preserve"> ,</w:t>
      </w:r>
      <w:r w:rsidR="00852A00" w:rsidRPr="00A961CA">
        <w:rPr>
          <w:rFonts w:cstheme="majorBidi"/>
          <w:b/>
          <w:bCs/>
          <w:sz w:val="28"/>
          <w:szCs w:val="28"/>
        </w:rPr>
        <w:t>neuropathy</w:t>
      </w:r>
      <w:r w:rsidR="001B062F">
        <w:rPr>
          <w:rFonts w:cstheme="majorBidi"/>
          <w:b/>
          <w:bCs/>
          <w:sz w:val="28"/>
          <w:szCs w:val="28"/>
        </w:rPr>
        <w:t xml:space="preserve"> </w:t>
      </w:r>
      <w:r w:rsidR="00852A00" w:rsidRPr="00A961CA">
        <w:rPr>
          <w:rFonts w:cstheme="majorBidi"/>
          <w:b/>
          <w:bCs/>
          <w:sz w:val="28"/>
          <w:szCs w:val="28"/>
        </w:rPr>
        <w:t>,ataxia</w:t>
      </w:r>
      <w:r w:rsidR="001B062F">
        <w:rPr>
          <w:rFonts w:cstheme="majorBidi"/>
          <w:b/>
          <w:bCs/>
          <w:sz w:val="28"/>
          <w:szCs w:val="28"/>
        </w:rPr>
        <w:t xml:space="preserve"> </w:t>
      </w:r>
      <w:r w:rsidR="00852A00" w:rsidRPr="00A961CA">
        <w:rPr>
          <w:rFonts w:cstheme="majorBidi"/>
          <w:b/>
          <w:bCs/>
          <w:sz w:val="28"/>
          <w:szCs w:val="28"/>
        </w:rPr>
        <w:t>,</w:t>
      </w:r>
      <w:r w:rsidR="001835B2" w:rsidRPr="00A961CA">
        <w:rPr>
          <w:rFonts w:cstheme="majorBidi"/>
          <w:b/>
          <w:bCs/>
          <w:sz w:val="28"/>
          <w:szCs w:val="28"/>
        </w:rPr>
        <w:t>Depres</w:t>
      </w:r>
      <w:r w:rsidR="00852A00" w:rsidRPr="00A961CA">
        <w:rPr>
          <w:rFonts w:cstheme="majorBidi"/>
          <w:b/>
          <w:bCs/>
          <w:sz w:val="28"/>
          <w:szCs w:val="28"/>
        </w:rPr>
        <w:t>s</w:t>
      </w:r>
      <w:r w:rsidR="001835B2" w:rsidRPr="00A961CA">
        <w:rPr>
          <w:rFonts w:cstheme="majorBidi"/>
          <w:b/>
          <w:bCs/>
          <w:sz w:val="28"/>
          <w:szCs w:val="28"/>
        </w:rPr>
        <w:t>ion</w:t>
      </w:r>
      <w:r w:rsidR="005955DA" w:rsidRPr="00A961CA">
        <w:rPr>
          <w:rFonts w:cstheme="majorBidi"/>
          <w:b/>
          <w:bCs/>
          <w:sz w:val="28"/>
          <w:szCs w:val="28"/>
        </w:rPr>
        <w:t xml:space="preserve"> </w:t>
      </w:r>
      <w:r w:rsidR="001B062F">
        <w:rPr>
          <w:rFonts w:cstheme="majorBidi"/>
          <w:b/>
          <w:bCs/>
          <w:sz w:val="28"/>
          <w:szCs w:val="28"/>
        </w:rPr>
        <w:t>,</w:t>
      </w:r>
      <w:r w:rsidR="005955DA" w:rsidRPr="00A961CA">
        <w:rPr>
          <w:rFonts w:cstheme="majorBidi"/>
          <w:b/>
          <w:bCs/>
          <w:sz w:val="28"/>
          <w:szCs w:val="28"/>
        </w:rPr>
        <w:t>s</w:t>
      </w:r>
      <w:r w:rsidR="00852A00" w:rsidRPr="00A961CA">
        <w:rPr>
          <w:rFonts w:cstheme="majorBidi"/>
          <w:b/>
          <w:bCs/>
          <w:sz w:val="28"/>
          <w:szCs w:val="28"/>
        </w:rPr>
        <w:t>hort</w:t>
      </w:r>
      <w:r w:rsidR="001B062F">
        <w:rPr>
          <w:rFonts w:cstheme="majorBidi"/>
          <w:b/>
          <w:bCs/>
          <w:sz w:val="28"/>
          <w:szCs w:val="28"/>
        </w:rPr>
        <w:t xml:space="preserve"> </w:t>
      </w:r>
      <w:r w:rsidR="00852A00" w:rsidRPr="00A961CA">
        <w:rPr>
          <w:rFonts w:cstheme="majorBidi"/>
          <w:b/>
          <w:bCs/>
          <w:sz w:val="28"/>
          <w:szCs w:val="28"/>
        </w:rPr>
        <w:t>stature</w:t>
      </w:r>
      <w:r w:rsidR="001B062F">
        <w:rPr>
          <w:rFonts w:cstheme="majorBidi"/>
          <w:b/>
          <w:bCs/>
          <w:sz w:val="28"/>
          <w:szCs w:val="28"/>
        </w:rPr>
        <w:t xml:space="preserve"> </w:t>
      </w:r>
      <w:r w:rsidR="00852A00" w:rsidRPr="00A961CA">
        <w:rPr>
          <w:rFonts w:cstheme="majorBidi"/>
          <w:b/>
          <w:bCs/>
          <w:sz w:val="28"/>
          <w:szCs w:val="28"/>
        </w:rPr>
        <w:t>,</w:t>
      </w:r>
      <w:r w:rsidR="001B062F">
        <w:rPr>
          <w:rFonts w:cstheme="majorBidi"/>
          <w:b/>
          <w:bCs/>
          <w:sz w:val="28"/>
          <w:szCs w:val="28"/>
        </w:rPr>
        <w:t xml:space="preserve"> </w:t>
      </w:r>
      <w:r w:rsidR="00852A00" w:rsidRPr="00A961CA">
        <w:rPr>
          <w:rFonts w:cstheme="majorBidi"/>
          <w:b/>
          <w:bCs/>
          <w:sz w:val="28"/>
          <w:szCs w:val="28"/>
        </w:rPr>
        <w:t>osteomalacia and osteoporosis</w:t>
      </w:r>
      <w:r w:rsidR="001B062F">
        <w:rPr>
          <w:rFonts w:cstheme="majorBidi"/>
          <w:b/>
          <w:bCs/>
          <w:sz w:val="28"/>
          <w:szCs w:val="28"/>
        </w:rPr>
        <w:t xml:space="preserve"> </w:t>
      </w:r>
      <w:r w:rsidR="00852A00" w:rsidRPr="00A961CA">
        <w:rPr>
          <w:rFonts w:cstheme="majorBidi"/>
          <w:b/>
          <w:bCs/>
          <w:sz w:val="28"/>
          <w:szCs w:val="28"/>
        </w:rPr>
        <w:t>,</w:t>
      </w:r>
      <w:r w:rsidR="00783944" w:rsidRPr="00A961CA">
        <w:rPr>
          <w:rFonts w:cstheme="majorBidi"/>
          <w:b/>
          <w:bCs/>
          <w:sz w:val="28"/>
          <w:szCs w:val="28"/>
        </w:rPr>
        <w:t xml:space="preserve">,outcome </w:t>
      </w:r>
      <w:r w:rsidR="00852A00" w:rsidRPr="00A961CA">
        <w:rPr>
          <w:rFonts w:cstheme="majorBidi"/>
          <w:b/>
          <w:bCs/>
          <w:sz w:val="28"/>
          <w:szCs w:val="28"/>
        </w:rPr>
        <w:t>liver disease</w:t>
      </w:r>
      <w:r w:rsidR="001B062F">
        <w:rPr>
          <w:rFonts w:cstheme="majorBidi"/>
          <w:b/>
          <w:bCs/>
          <w:sz w:val="28"/>
          <w:szCs w:val="28"/>
        </w:rPr>
        <w:t xml:space="preserve"> </w:t>
      </w:r>
      <w:r w:rsidR="00852A00" w:rsidRPr="00A961CA">
        <w:rPr>
          <w:rFonts w:cstheme="majorBidi"/>
          <w:b/>
          <w:bCs/>
          <w:sz w:val="28"/>
          <w:szCs w:val="28"/>
        </w:rPr>
        <w:t>adverse pregnancy</w:t>
      </w:r>
      <w:r w:rsidR="001B062F">
        <w:rPr>
          <w:rFonts w:cstheme="majorBidi"/>
          <w:b/>
          <w:bCs/>
          <w:sz w:val="28"/>
          <w:szCs w:val="28"/>
        </w:rPr>
        <w:t xml:space="preserve"> </w:t>
      </w:r>
      <w:r w:rsidR="00852A00" w:rsidRPr="00A961CA">
        <w:rPr>
          <w:rFonts w:cstheme="majorBidi"/>
          <w:b/>
          <w:bCs/>
          <w:sz w:val="28"/>
          <w:szCs w:val="28"/>
        </w:rPr>
        <w:t>and lymphoma</w:t>
      </w:r>
      <w:r w:rsidR="00783944" w:rsidRPr="00A961CA">
        <w:rPr>
          <w:rStyle w:val="FootnoteReference"/>
          <w:rFonts w:cstheme="majorBidi"/>
          <w:b/>
          <w:bCs/>
          <w:sz w:val="28"/>
          <w:szCs w:val="28"/>
        </w:rPr>
        <w:footnoteReference w:id="5"/>
      </w:r>
      <w:r w:rsidR="00852A00" w:rsidRPr="00A961CA">
        <w:rPr>
          <w:rFonts w:cstheme="majorBidi"/>
          <w:b/>
          <w:bCs/>
          <w:sz w:val="28"/>
          <w:szCs w:val="28"/>
        </w:rPr>
        <w:t>.Asymptomatic patients are typically diagnosed through screening.Screening may be initiated because the individual has a</w:t>
      </w:r>
      <w:r w:rsidR="001B062F">
        <w:rPr>
          <w:rFonts w:cstheme="majorBidi"/>
          <w:b/>
          <w:bCs/>
          <w:sz w:val="28"/>
          <w:szCs w:val="28"/>
        </w:rPr>
        <w:t xml:space="preserve"> </w:t>
      </w:r>
      <w:r w:rsidR="00852A00" w:rsidRPr="00A961CA">
        <w:rPr>
          <w:rFonts w:cstheme="majorBidi"/>
          <w:b/>
          <w:bCs/>
          <w:sz w:val="28"/>
          <w:szCs w:val="28"/>
        </w:rPr>
        <w:t>CD-associated disorder or has symptoms and is a first-degreerelative to a patient with CDNewly diagnosed patients withCD can present with a wide range of symptoms and signs,</w:t>
      </w:r>
      <w:r w:rsidR="00783944" w:rsidRPr="00A961CA">
        <w:rPr>
          <w:rFonts w:cstheme="majorBidi"/>
          <w:b/>
          <w:bCs/>
          <w:sz w:val="28"/>
          <w:szCs w:val="28"/>
        </w:rPr>
        <w:t xml:space="preserve">Celiac disease affects the mucosa of the small intestine;the submucosa, muscularis propria, and serosa usually arenot involved. The mucosal lesion can vary considerably inseverity and in extent.Examination under magnification ofthe small intestinal mucosal surface in severe </w:t>
      </w:r>
      <w:r w:rsidR="00783944" w:rsidRPr="00A961CA">
        <w:rPr>
          <w:rFonts w:cstheme="majorBidi"/>
          <w:b/>
          <w:bCs/>
          <w:sz w:val="28"/>
          <w:szCs w:val="28"/>
        </w:rPr>
        <w:lastRenderedPageBreak/>
        <w:t>untreatedceliac disease reveals a flat mucosal surface with completeabsence of normal intestinal villi. Histologic</w:t>
      </w:r>
      <w:r w:rsidR="00835975" w:rsidRPr="00A961CA">
        <w:rPr>
          <w:rFonts w:cstheme="majorBidi"/>
          <w:b/>
          <w:bCs/>
          <w:sz w:val="28"/>
          <w:szCs w:val="28"/>
        </w:rPr>
        <w:t xml:space="preserve">al </w:t>
      </w:r>
      <w:r w:rsidR="00783944" w:rsidRPr="00A961CA">
        <w:rPr>
          <w:rFonts w:cstheme="majorBidi"/>
          <w:b/>
          <w:bCs/>
          <w:sz w:val="28"/>
          <w:szCs w:val="28"/>
        </w:rPr>
        <w:t xml:space="preserve"> examination oftissue sections confirms this loss of normalvillus structure</w:t>
      </w:r>
      <w:r w:rsidR="005955DA" w:rsidRPr="00A961CA">
        <w:rPr>
          <w:rFonts w:cstheme="majorBidi"/>
          <w:b/>
          <w:bCs/>
          <w:sz w:val="28"/>
          <w:szCs w:val="28"/>
        </w:rPr>
        <w:t xml:space="preserve"> .</w:t>
      </w:r>
      <w:r w:rsidR="00783944" w:rsidRPr="00A961CA">
        <w:rPr>
          <w:rFonts w:cstheme="majorBidi"/>
          <w:b/>
          <w:bCs/>
          <w:sz w:val="28"/>
          <w:szCs w:val="28"/>
        </w:rPr>
        <w:t>The intestinal crypts are markedly elongatedand open onto a flat absorptive surface. The total thicknessof the mucosa may be reduced only slightly, becausecrypt hyperplasia compensates for the absence or shorteningof the villi. These architectural changes decrease theamount of epithelial surface available for digestion and</w:t>
      </w:r>
      <w:r w:rsidR="00DE1329" w:rsidRPr="00A961CA">
        <w:rPr>
          <w:rFonts w:cstheme="majorBidi"/>
          <w:b/>
          <w:bCs/>
          <w:sz w:val="28"/>
          <w:szCs w:val="28"/>
        </w:rPr>
        <w:t xml:space="preserve"> absorption</w:t>
      </w:r>
      <w:r w:rsidR="00DE1329" w:rsidRPr="00A961CA">
        <w:rPr>
          <w:rStyle w:val="FootnoteReference"/>
          <w:rFonts w:cstheme="majorBidi"/>
          <w:b/>
          <w:bCs/>
          <w:sz w:val="28"/>
          <w:szCs w:val="28"/>
        </w:rPr>
        <w:footnoteReference w:id="6"/>
      </w:r>
      <w:r w:rsidR="00783944" w:rsidRPr="00A961CA">
        <w:rPr>
          <w:rFonts w:cstheme="majorBidi"/>
          <w:b/>
          <w:bCs/>
          <w:sz w:val="28"/>
          <w:szCs w:val="28"/>
        </w:rPr>
        <w:t>.</w:t>
      </w:r>
      <w:r w:rsidR="00FF4DFF" w:rsidRPr="00A961CA">
        <w:rPr>
          <w:rFonts w:cstheme="majorBidi"/>
          <w:b/>
          <w:bCs/>
          <w:sz w:val="28"/>
          <w:szCs w:val="28"/>
        </w:rPr>
        <w:t>Celiac disease is a histological diagnosis, and, in patientsin whom there is certainly a clinical concern of theproblem, small bowel biopsy remains the first diagnosticmethod. Some assays for the diagnosis of celiac relevantantibodies are available, and, although these serologicaltests do not exchange t</w:t>
      </w:r>
      <w:r w:rsidR="00835975" w:rsidRPr="00A961CA">
        <w:rPr>
          <w:rFonts w:cstheme="majorBidi"/>
          <w:b/>
          <w:bCs/>
          <w:sz w:val="28"/>
          <w:szCs w:val="28"/>
        </w:rPr>
        <w:t xml:space="preserve">he require for small intestinal </w:t>
      </w:r>
      <w:r w:rsidR="00FF4DFF" w:rsidRPr="00A961CA">
        <w:rPr>
          <w:rFonts w:cstheme="majorBidi"/>
          <w:b/>
          <w:bCs/>
          <w:sz w:val="28"/>
          <w:szCs w:val="28"/>
        </w:rPr>
        <w:t xml:space="preserve">biopsy for recognition, they could be extremely helpful an adjunct to diagnosis. Positive antibody tests mighthelp guide clinicians towards biopsy in patients at highrisk of improving celiac disease or inpatients with a lowindex of </w:t>
      </w:r>
      <w:r w:rsidR="005955DA" w:rsidRPr="00A961CA">
        <w:rPr>
          <w:rFonts w:cstheme="majorBidi"/>
          <w:b/>
          <w:bCs/>
          <w:sz w:val="28"/>
          <w:szCs w:val="28"/>
        </w:rPr>
        <w:t>suspicion for the disease</w:t>
      </w:r>
      <w:r w:rsidR="00FF4DFF" w:rsidRPr="00A961CA">
        <w:rPr>
          <w:rStyle w:val="FootnoteReference"/>
          <w:rFonts w:cstheme="majorBidi"/>
          <w:b/>
          <w:bCs/>
          <w:sz w:val="28"/>
          <w:szCs w:val="28"/>
        </w:rPr>
        <w:footnoteReference w:id="7"/>
      </w:r>
      <w:r w:rsidR="005955DA" w:rsidRPr="00A961CA">
        <w:rPr>
          <w:rFonts w:cstheme="majorBidi"/>
          <w:b/>
          <w:bCs/>
          <w:sz w:val="28"/>
          <w:szCs w:val="28"/>
        </w:rPr>
        <w:t>.</w:t>
      </w:r>
      <w:r w:rsidR="00DE1329" w:rsidRPr="00A961CA">
        <w:rPr>
          <w:rFonts w:cstheme="majorBidi"/>
          <w:b/>
          <w:bCs/>
          <w:sz w:val="28"/>
          <w:szCs w:val="28"/>
        </w:rPr>
        <w:t>Iron Deficiency Anemia (IDA) is one of themost common presenting features of CD</w:t>
      </w:r>
      <w:r w:rsidR="00DE1329" w:rsidRPr="00A961CA">
        <w:rPr>
          <w:rStyle w:val="FootnoteReference"/>
          <w:rFonts w:cstheme="majorBidi"/>
          <w:b/>
          <w:bCs/>
          <w:sz w:val="28"/>
          <w:szCs w:val="28"/>
        </w:rPr>
        <w:footnoteReference w:id="8"/>
      </w:r>
      <w:r w:rsidR="00DE1329" w:rsidRPr="00A961CA">
        <w:rPr>
          <w:rFonts w:cstheme="majorBidi"/>
          <w:b/>
          <w:bCs/>
          <w:sz w:val="28"/>
          <w:szCs w:val="28"/>
        </w:rPr>
        <w:t>.IDAis also common at the diagnosis in patients with CD</w:t>
      </w:r>
      <w:r w:rsidR="00DE1329" w:rsidRPr="00A961CA">
        <w:rPr>
          <w:rStyle w:val="FootnoteReference"/>
          <w:rFonts w:cstheme="majorBidi"/>
          <w:b/>
          <w:bCs/>
          <w:sz w:val="28"/>
          <w:szCs w:val="28"/>
        </w:rPr>
        <w:footnoteReference w:id="9"/>
      </w:r>
      <w:r w:rsidR="00DE1329" w:rsidRPr="00A961CA">
        <w:rPr>
          <w:rFonts w:cstheme="majorBidi"/>
          <w:b/>
          <w:bCs/>
          <w:sz w:val="28"/>
          <w:szCs w:val="28"/>
        </w:rPr>
        <w:t>.Iron deficiency with or without anemia,typically refractory to oral iron supplementation,can be the only presenting sign ofCD</w:t>
      </w:r>
      <w:r w:rsidR="00DE1329" w:rsidRPr="00A961CA">
        <w:rPr>
          <w:rStyle w:val="FootnoteReference"/>
          <w:rFonts w:cstheme="majorBidi"/>
          <w:b/>
          <w:bCs/>
          <w:sz w:val="28"/>
          <w:szCs w:val="28"/>
        </w:rPr>
        <w:footnoteReference w:id="10"/>
      </w:r>
      <w:r w:rsidR="008B4F28" w:rsidRPr="00A961CA">
        <w:rPr>
          <w:rFonts w:cstheme="majorBidi"/>
          <w:b/>
          <w:bCs/>
          <w:sz w:val="28"/>
          <w:szCs w:val="28"/>
        </w:rPr>
        <w:t>.</w:t>
      </w:r>
      <w:r w:rsidR="00DE1329" w:rsidRPr="00A961CA">
        <w:rPr>
          <w:rFonts w:cstheme="majorBidi"/>
          <w:b/>
          <w:bCs/>
          <w:sz w:val="28"/>
          <w:szCs w:val="28"/>
        </w:rPr>
        <w:t xml:space="preserve"> although as many as one half of anemicpatients with un</w:t>
      </w:r>
      <w:r w:rsidR="008B4F28" w:rsidRPr="00A961CA">
        <w:rPr>
          <w:rFonts w:cstheme="majorBidi"/>
          <w:b/>
          <w:bCs/>
          <w:sz w:val="28"/>
          <w:szCs w:val="28"/>
        </w:rPr>
        <w:t>treated CD have iron deficiency</w:t>
      </w:r>
      <w:r w:rsidR="008B4F28" w:rsidRPr="00A961CA">
        <w:rPr>
          <w:rStyle w:val="FootnoteReference"/>
          <w:rFonts w:cstheme="majorBidi"/>
          <w:b/>
          <w:bCs/>
          <w:sz w:val="28"/>
          <w:szCs w:val="28"/>
        </w:rPr>
        <w:footnoteReference w:id="11"/>
      </w:r>
      <w:r w:rsidR="008B4F28" w:rsidRPr="00A961CA">
        <w:rPr>
          <w:rFonts w:cstheme="majorBidi"/>
          <w:b/>
          <w:bCs/>
          <w:sz w:val="28"/>
          <w:szCs w:val="28"/>
        </w:rPr>
        <w:t>.In 2000, The British Society of Gastroenterologyproposed that all adult male patients andpostmenopausalfemale patients, without overtblood loss or any other obvious cause of IDA,should undergo upper gastrointestinal endoscopy,including duodenal biopsy, andcolonoscopy or barium enema, with or withoutflexible sigmoidoscopy</w:t>
      </w:r>
      <w:r w:rsidR="008B4F28" w:rsidRPr="00A961CA">
        <w:rPr>
          <w:rStyle w:val="FootnoteReference"/>
          <w:rFonts w:cstheme="majorBidi"/>
          <w:b/>
          <w:bCs/>
          <w:sz w:val="28"/>
          <w:szCs w:val="28"/>
        </w:rPr>
        <w:footnoteReference w:id="12"/>
      </w:r>
      <w:r w:rsidR="001927A3" w:rsidRPr="00A961CA">
        <w:rPr>
          <w:rFonts w:cstheme="majorBidi"/>
          <w:b/>
          <w:bCs/>
          <w:sz w:val="28"/>
          <w:szCs w:val="28"/>
        </w:rPr>
        <w:t>.Anemia is a common manifestation of celiac disease in childrenand adults and usually is caused by impaired iron orfolate absorption from the proximal intestine; in severe disease</w:t>
      </w:r>
      <w:r w:rsidR="000C19BF">
        <w:rPr>
          <w:rFonts w:cstheme="majorBidi"/>
          <w:b/>
          <w:bCs/>
          <w:sz w:val="28"/>
          <w:szCs w:val="28"/>
        </w:rPr>
        <w:t xml:space="preserve"> </w:t>
      </w:r>
      <w:r w:rsidR="001927A3" w:rsidRPr="00A961CA">
        <w:rPr>
          <w:rFonts w:cstheme="majorBidi"/>
          <w:b/>
          <w:bCs/>
          <w:sz w:val="28"/>
          <w:szCs w:val="28"/>
        </w:rPr>
        <w:t xml:space="preserve">with ileal </w:t>
      </w:r>
      <w:r w:rsidR="001927A3" w:rsidRPr="00A961CA">
        <w:rPr>
          <w:rFonts w:cstheme="majorBidi"/>
          <w:b/>
          <w:bCs/>
          <w:sz w:val="28"/>
          <w:szCs w:val="28"/>
        </w:rPr>
        <w:lastRenderedPageBreak/>
        <w:t>involvement, vitamin B12 absorption also is impaired.Coagulopathy resulting from impaired intestinal absorptionof fat-soluble vitamin K occurs rarely, and in such casesbleeding can aggravate preexisting anemia</w:t>
      </w:r>
      <w:r w:rsidR="00AD2199" w:rsidRPr="00A961CA">
        <w:rPr>
          <w:rStyle w:val="FootnoteReference"/>
          <w:rFonts w:cstheme="majorBidi"/>
          <w:b/>
          <w:bCs/>
          <w:sz w:val="28"/>
          <w:szCs w:val="28"/>
        </w:rPr>
        <w:footnoteReference w:id="13"/>
      </w:r>
      <w:r w:rsidR="001927A3" w:rsidRPr="00A961CA">
        <w:rPr>
          <w:rFonts w:cstheme="majorBidi"/>
          <w:b/>
          <w:bCs/>
          <w:sz w:val="28"/>
          <w:szCs w:val="28"/>
        </w:rPr>
        <w:t>.</w:t>
      </w:r>
      <w:r w:rsidR="005955DA" w:rsidRPr="00A961CA">
        <w:rPr>
          <w:rFonts w:cstheme="majorBidi"/>
          <w:b/>
          <w:bCs/>
          <w:sz w:val="28"/>
          <w:szCs w:val="28"/>
        </w:rPr>
        <w:t>Iron deficiency an</w:t>
      </w:r>
      <w:r w:rsidR="00AD2199" w:rsidRPr="00A961CA">
        <w:rPr>
          <w:rFonts w:cstheme="majorBidi"/>
          <w:b/>
          <w:bCs/>
          <w:sz w:val="28"/>
          <w:szCs w:val="28"/>
        </w:rPr>
        <w:t>emia is experienced by 2-5% of men and postmenopausal women and 5-12%of premenopausal women in the UK at any time</w:t>
      </w:r>
      <w:r w:rsidR="00AD2199" w:rsidRPr="00A961CA">
        <w:rPr>
          <w:rStyle w:val="FootnoteReference"/>
          <w:rFonts w:cstheme="majorBidi"/>
          <w:b/>
          <w:bCs/>
          <w:sz w:val="28"/>
          <w:szCs w:val="28"/>
        </w:rPr>
        <w:footnoteReference w:id="14"/>
      </w:r>
      <w:r w:rsidR="00AD2199" w:rsidRPr="00A961CA">
        <w:rPr>
          <w:rFonts w:cstheme="majorBidi"/>
          <w:b/>
          <w:bCs/>
          <w:sz w:val="28"/>
          <w:szCs w:val="28"/>
        </w:rPr>
        <w:t>, but occurs in some 30-50% of patients with coeliac disease at diagnosis</w:t>
      </w:r>
      <w:r w:rsidR="00AD2199" w:rsidRPr="00A961CA">
        <w:rPr>
          <w:rStyle w:val="FootnoteReference"/>
          <w:rFonts w:cstheme="majorBidi"/>
          <w:b/>
          <w:bCs/>
          <w:sz w:val="28"/>
          <w:szCs w:val="28"/>
        </w:rPr>
        <w:footnoteReference w:id="15"/>
      </w:r>
      <w:r w:rsidR="00AD2199" w:rsidRPr="00A961CA">
        <w:rPr>
          <w:rFonts w:cstheme="majorBidi"/>
          <w:b/>
          <w:bCs/>
          <w:sz w:val="28"/>
          <w:szCs w:val="28"/>
        </w:rPr>
        <w:t xml:space="preserve">. NICE Guidance for the recognition, assessment and managementof coeliac disease recommends that GPs screen patients with recurring or unexplained iron, B12or folate deficiency anaemia for </w:t>
      </w:r>
      <w:r w:rsidR="00E50517" w:rsidRPr="00A961CA">
        <w:rPr>
          <w:rFonts w:cstheme="majorBidi"/>
          <w:b/>
          <w:bCs/>
          <w:sz w:val="28"/>
          <w:szCs w:val="28"/>
        </w:rPr>
        <w:t xml:space="preserve">celiac </w:t>
      </w:r>
      <w:r w:rsidR="00AD2199" w:rsidRPr="00A961CA">
        <w:rPr>
          <w:rFonts w:cstheme="majorBidi"/>
          <w:b/>
          <w:bCs/>
          <w:sz w:val="28"/>
          <w:szCs w:val="28"/>
        </w:rPr>
        <w:t>disease</w:t>
      </w:r>
      <w:r w:rsidR="00F145D5" w:rsidRPr="00A961CA">
        <w:rPr>
          <w:rStyle w:val="FootnoteReference"/>
          <w:rFonts w:cstheme="majorBidi"/>
          <w:b/>
          <w:bCs/>
          <w:sz w:val="28"/>
          <w:szCs w:val="28"/>
        </w:rPr>
        <w:footnoteReference w:id="16"/>
      </w:r>
      <w:r w:rsidR="00F145D5" w:rsidRPr="00A961CA">
        <w:rPr>
          <w:rFonts w:cstheme="majorBidi"/>
          <w:b/>
          <w:bCs/>
          <w:sz w:val="28"/>
          <w:szCs w:val="28"/>
        </w:rPr>
        <w:t>.].</w:t>
      </w:r>
      <w:r w:rsidR="00AF4059" w:rsidRPr="00A961CA">
        <w:rPr>
          <w:rFonts w:cstheme="majorBidi"/>
          <w:b/>
          <w:bCs/>
          <w:sz w:val="28"/>
          <w:szCs w:val="28"/>
        </w:rPr>
        <w:t>Diagnosis of CD is by serology and duodenal biopsy, ideallywith the patient on a normal, that is, gluten-containing diet.Biopsy remains essential for the diagnosis of adult CD andcannot be replaced by serology. Exceptions are patients withcoagulation disorders and pregnant women, in whom biopsymay not be feasible or should be postponed until postpartum.To state definite diagnosis of CD, villous atrophy is required.However, lesser degrees of damage(=25 IELs but no villous atrophy)combined with positive serology (IgA-EMA, tissuetransglutaminase (TTG) or IgG-DGP) may also represent CD(‘probable CD’), and in these circumstances a trial with GFDmay be considered to further support the diagnosis of CD. HLAstatus may also aid diagnosis. Differential diagnoses of lymphocyticduodenosis should be ruled out if there is no response to</w:t>
      </w:r>
      <w:r w:rsidR="00754235" w:rsidRPr="00A961CA">
        <w:rPr>
          <w:rFonts w:cstheme="majorBidi"/>
          <w:b/>
          <w:bCs/>
          <w:sz w:val="28"/>
          <w:szCs w:val="28"/>
        </w:rPr>
        <w:t>GFD while consuming a gluten-containing diet, have positive serologyand a duodenal biopsy with obvious coeliac histology (increasedintraepithelial lymphocytosis, crypt hyperplasia and villousatrophy; table 1). These patients can immediately initiate a GFD</w:t>
      </w:r>
      <w:r w:rsidR="000C19BF">
        <w:rPr>
          <w:rFonts w:cstheme="majorBidi"/>
          <w:b/>
          <w:bCs/>
          <w:sz w:val="28"/>
          <w:szCs w:val="28"/>
        </w:rPr>
        <w:t xml:space="preserve"> </w:t>
      </w:r>
      <w:r w:rsidR="00754235" w:rsidRPr="00A961CA">
        <w:rPr>
          <w:rFonts w:cstheme="majorBidi"/>
          <w:b/>
          <w:bCs/>
          <w:sz w:val="28"/>
          <w:szCs w:val="28"/>
        </w:rPr>
        <w:t>with confidenc. Th</w:t>
      </w:r>
      <w:r w:rsidR="0013215C" w:rsidRPr="00A961CA">
        <w:rPr>
          <w:rFonts w:cstheme="majorBidi"/>
          <w:b/>
          <w:bCs/>
          <w:sz w:val="28"/>
          <w:szCs w:val="28"/>
        </w:rPr>
        <w:t>e aim of</w:t>
      </w:r>
      <w:r w:rsidR="00F145D5" w:rsidRPr="00A961CA">
        <w:rPr>
          <w:rFonts w:cstheme="majorBidi"/>
          <w:b/>
          <w:bCs/>
          <w:sz w:val="28"/>
          <w:szCs w:val="28"/>
        </w:rPr>
        <w:t xml:space="preserve"> this study was to to define the prevalence of CD in the gastroentology department of Al-Hussein teachin</w:t>
      </w:r>
      <w:r w:rsidR="00754235" w:rsidRPr="00A961CA">
        <w:rPr>
          <w:rFonts w:cstheme="majorBidi"/>
          <w:b/>
          <w:bCs/>
          <w:sz w:val="28"/>
          <w:szCs w:val="28"/>
        </w:rPr>
        <w:t>g hospital in patients  with IDA</w:t>
      </w:r>
      <w:r w:rsidR="008C6589" w:rsidRPr="00A961CA">
        <w:rPr>
          <w:rFonts w:cstheme="majorBidi"/>
          <w:b/>
          <w:bCs/>
          <w:sz w:val="28"/>
          <w:szCs w:val="28"/>
        </w:rPr>
        <w:t xml:space="preserve"> ,to determine the sensitivity of endoscopy to </w:t>
      </w:r>
      <w:r w:rsidR="008C6589" w:rsidRPr="00A961CA">
        <w:rPr>
          <w:rFonts w:cstheme="majorBidi"/>
          <w:b/>
          <w:bCs/>
          <w:sz w:val="28"/>
          <w:szCs w:val="28"/>
        </w:rPr>
        <w:lastRenderedPageBreak/>
        <w:t>detect the changes in celiac disease and to identify the gastrointestinal pathology in patients with IDA .</w:t>
      </w:r>
    </w:p>
    <w:p w:rsidR="00FF156C" w:rsidRPr="00A961CA" w:rsidRDefault="00FF156C" w:rsidP="00852A00">
      <w:pPr>
        <w:jc w:val="highKashida"/>
        <w:rPr>
          <w:rFonts w:cstheme="majorBidi"/>
          <w:b/>
          <w:bCs/>
          <w:sz w:val="28"/>
          <w:szCs w:val="28"/>
        </w:rPr>
      </w:pPr>
    </w:p>
    <w:p w:rsidR="00FF156C" w:rsidRPr="00A961CA" w:rsidRDefault="00FF156C" w:rsidP="00852A00">
      <w:pPr>
        <w:jc w:val="highKashida"/>
        <w:rPr>
          <w:rFonts w:cstheme="majorBidi"/>
          <w:b/>
          <w:bCs/>
          <w:sz w:val="28"/>
          <w:szCs w:val="28"/>
        </w:rPr>
      </w:pPr>
    </w:p>
    <w:p w:rsidR="00534809" w:rsidRDefault="0013215C" w:rsidP="00754235">
      <w:pPr>
        <w:rPr>
          <w:b/>
          <w:bCs/>
          <w:i/>
          <w:iCs/>
          <w:color w:val="C00000"/>
          <w:sz w:val="36"/>
          <w:szCs w:val="36"/>
        </w:rPr>
      </w:pPr>
      <w:r w:rsidRPr="0013215C">
        <w:rPr>
          <w:b/>
          <w:bCs/>
          <w:i/>
          <w:iCs/>
          <w:color w:val="C00000"/>
          <w:sz w:val="36"/>
          <w:szCs w:val="36"/>
        </w:rPr>
        <w:t xml:space="preserve"> Methods  </w:t>
      </w:r>
    </w:p>
    <w:p w:rsidR="003A6EC8" w:rsidRPr="00A961CA" w:rsidRDefault="00534809" w:rsidP="003A6EC8">
      <w:pPr>
        <w:rPr>
          <w:rFonts w:cstheme="majorBidi"/>
          <w:b/>
          <w:bCs/>
          <w:sz w:val="28"/>
          <w:szCs w:val="28"/>
        </w:rPr>
      </w:pPr>
      <w:r w:rsidRPr="00A961CA">
        <w:rPr>
          <w:rFonts w:cstheme="majorBidi"/>
          <w:b/>
          <w:bCs/>
          <w:sz w:val="28"/>
          <w:szCs w:val="28"/>
        </w:rPr>
        <w:t>this cross sectional study was conducted in Al-Nasirrhea city which is the main city of Thi-Qar govrnorate</w:t>
      </w:r>
      <w:r w:rsidR="000C19BF">
        <w:rPr>
          <w:rFonts w:cstheme="majorBidi"/>
          <w:b/>
          <w:bCs/>
          <w:sz w:val="28"/>
          <w:szCs w:val="28"/>
        </w:rPr>
        <w:t xml:space="preserve"> </w:t>
      </w:r>
      <w:r w:rsidRPr="00A961CA">
        <w:rPr>
          <w:rFonts w:cstheme="majorBidi"/>
          <w:b/>
          <w:bCs/>
          <w:sz w:val="28"/>
          <w:szCs w:val="28"/>
        </w:rPr>
        <w:t>.All patients</w:t>
      </w:r>
      <w:r w:rsidR="000C19BF">
        <w:rPr>
          <w:rFonts w:cstheme="majorBidi"/>
          <w:b/>
          <w:bCs/>
          <w:sz w:val="28"/>
          <w:szCs w:val="28"/>
        </w:rPr>
        <w:t xml:space="preserve"> </w:t>
      </w:r>
      <w:r w:rsidRPr="00A961CA">
        <w:rPr>
          <w:rFonts w:cstheme="majorBidi"/>
          <w:b/>
          <w:bCs/>
          <w:sz w:val="28"/>
          <w:szCs w:val="28"/>
        </w:rPr>
        <w:t>presented to the gastroentology department of Al -H</w:t>
      </w:r>
      <w:r w:rsidR="003A6EC8" w:rsidRPr="00A961CA">
        <w:rPr>
          <w:rFonts w:cstheme="majorBidi"/>
          <w:b/>
          <w:bCs/>
          <w:sz w:val="28"/>
          <w:szCs w:val="28"/>
        </w:rPr>
        <w:t>ussein teaching hospital, from Augest to December</w:t>
      </w:r>
      <w:r w:rsidRPr="00A961CA">
        <w:rPr>
          <w:rFonts w:cstheme="majorBidi"/>
          <w:b/>
          <w:bCs/>
          <w:sz w:val="28"/>
          <w:szCs w:val="28"/>
        </w:rPr>
        <w:t xml:space="preserve"> were candidated for entery to this study. Inclusion criteria was IDA which defined as Hb &lt; 12g/dl in women [normal 12 -16 g /dl] and less than 14 g/dl in men [normal 14 -18g/dl ]   .Serum  Ferriten&lt;25 ng /ml [normal 25 -300 ng/ml ] . And  mean corpuscular volume (MCV) &lt;80 fl , with hypochromic microcytic morphology . Patients with obvious blood loss, such as those with a history of melena, hematochezia, hemoptysis,recurrent epistaxis, hematuria, trauma, pregnancy, hypermenorrhea (cycles ≥7 days), or menometrorrhagia, and those with alcoholism, gastric surgery, known chronic diseases (e.g. chronic liver disease, chronic renal failure, heart failure, collagen vascular disease, etc.), and hematologic diseases were excluded from the study. , upper gastrointestinal</w:t>
      </w:r>
      <w:r w:rsidR="003A6EC8" w:rsidRPr="00A961CA">
        <w:rPr>
          <w:rFonts w:cstheme="majorBidi"/>
          <w:b/>
          <w:bCs/>
          <w:sz w:val="28"/>
          <w:szCs w:val="28"/>
        </w:rPr>
        <w:t xml:space="preserve"> (GI) endoscopy  was </w:t>
      </w:r>
      <w:r w:rsidRPr="00A961CA">
        <w:rPr>
          <w:rFonts w:cstheme="majorBidi"/>
          <w:b/>
          <w:bCs/>
          <w:sz w:val="28"/>
          <w:szCs w:val="28"/>
        </w:rPr>
        <w:t xml:space="preserve"> performed in all of the patients. In this study from 1763 patients who referred from private clinics and hospital,we found about 405 patients had unexplai</w:t>
      </w:r>
      <w:r w:rsidR="003A6EC8" w:rsidRPr="00A961CA">
        <w:rPr>
          <w:rFonts w:cstheme="majorBidi"/>
          <w:b/>
          <w:bCs/>
          <w:sz w:val="28"/>
          <w:szCs w:val="28"/>
        </w:rPr>
        <w:t xml:space="preserve">ned IDA .age ,gender </w:t>
      </w:r>
      <w:r w:rsidRPr="00A961CA">
        <w:rPr>
          <w:rFonts w:cstheme="majorBidi"/>
          <w:b/>
          <w:bCs/>
          <w:sz w:val="28"/>
          <w:szCs w:val="28"/>
        </w:rPr>
        <w:t xml:space="preserve">,complaints , presence of other autoimmune diseases </w:t>
      </w:r>
      <w:r w:rsidR="003A6EC8" w:rsidRPr="00A961CA">
        <w:rPr>
          <w:rFonts w:cstheme="majorBidi"/>
          <w:b/>
          <w:bCs/>
          <w:sz w:val="28"/>
          <w:szCs w:val="28"/>
        </w:rPr>
        <w:t>,and serology if performed.</w:t>
      </w:r>
    </w:p>
    <w:p w:rsidR="00534809" w:rsidRPr="00A961CA" w:rsidRDefault="00534809" w:rsidP="003A6EC8">
      <w:pPr>
        <w:rPr>
          <w:rFonts w:cstheme="majorBidi"/>
          <w:b/>
          <w:bCs/>
          <w:sz w:val="28"/>
          <w:szCs w:val="28"/>
        </w:rPr>
      </w:pPr>
      <w:r w:rsidRPr="00A961CA">
        <w:rPr>
          <w:rFonts w:cstheme="majorBidi"/>
          <w:b/>
          <w:bCs/>
          <w:sz w:val="28"/>
          <w:szCs w:val="28"/>
        </w:rPr>
        <w:t>All patients with IDA of obscure origin underwent up</w:t>
      </w:r>
      <w:r w:rsidR="003A6EC8" w:rsidRPr="00A961CA">
        <w:rPr>
          <w:rFonts w:cstheme="majorBidi"/>
          <w:b/>
          <w:bCs/>
          <w:sz w:val="28"/>
          <w:szCs w:val="28"/>
        </w:rPr>
        <w:t xml:space="preserve">per GI endoscopy </w:t>
      </w:r>
      <w:r w:rsidRPr="00A961CA">
        <w:rPr>
          <w:rFonts w:cstheme="majorBidi"/>
          <w:b/>
          <w:bCs/>
          <w:sz w:val="28"/>
          <w:szCs w:val="28"/>
        </w:rPr>
        <w:t>. This procedure carried out byspecialist endoscopist using [Olympus EVIS GIT  -Q24 OZ or SP 240] Gastroduodenal endoscopic examination, after an overnight fasting .Whole procedure was explained to the patients and informed consent was obtained. This examination was done by conscious sedation ( Diazepam ,  pethidine IV)</w:t>
      </w:r>
      <w:r w:rsidR="003A6EC8" w:rsidRPr="00A961CA">
        <w:rPr>
          <w:rFonts w:cstheme="majorBidi"/>
          <w:b/>
          <w:bCs/>
          <w:sz w:val="28"/>
          <w:szCs w:val="28"/>
        </w:rPr>
        <w:t>and with general anesthesia for pediatrics.</w:t>
      </w:r>
      <w:r w:rsidR="00FD7A43" w:rsidRPr="00A961CA">
        <w:rPr>
          <w:rFonts w:cstheme="majorBidi"/>
          <w:b/>
          <w:bCs/>
          <w:sz w:val="28"/>
          <w:szCs w:val="28"/>
        </w:rPr>
        <w:t xml:space="preserve"> ,with</w:t>
      </w:r>
      <w:r w:rsidR="003A6EC8" w:rsidRPr="00A961CA">
        <w:rPr>
          <w:rFonts w:cstheme="majorBidi"/>
          <w:b/>
          <w:bCs/>
          <w:sz w:val="28"/>
          <w:szCs w:val="28"/>
        </w:rPr>
        <w:t xml:space="preserve"> 10% </w:t>
      </w:r>
      <w:r w:rsidRPr="00A961CA">
        <w:rPr>
          <w:rFonts w:cstheme="majorBidi"/>
          <w:b/>
          <w:bCs/>
          <w:sz w:val="28"/>
          <w:szCs w:val="28"/>
        </w:rPr>
        <w:t xml:space="preserve">xylocaine </w:t>
      </w:r>
      <w:r w:rsidR="003A6EC8" w:rsidRPr="00A961CA">
        <w:rPr>
          <w:rFonts w:cstheme="majorBidi"/>
          <w:b/>
          <w:bCs/>
          <w:sz w:val="28"/>
          <w:szCs w:val="28"/>
        </w:rPr>
        <w:lastRenderedPageBreak/>
        <w:t>pharyngeal  spray  was a</w:t>
      </w:r>
      <w:r w:rsidR="00E55CD9" w:rsidRPr="00A961CA">
        <w:rPr>
          <w:rFonts w:cstheme="majorBidi"/>
          <w:b/>
          <w:bCs/>
          <w:sz w:val="28"/>
          <w:szCs w:val="28"/>
        </w:rPr>
        <w:t xml:space="preserve">dministered </w:t>
      </w:r>
      <w:r w:rsidRPr="00A961CA">
        <w:rPr>
          <w:rFonts w:cstheme="majorBidi"/>
          <w:b/>
          <w:bCs/>
          <w:sz w:val="28"/>
          <w:szCs w:val="28"/>
        </w:rPr>
        <w:t xml:space="preserve">to regress the gag reflex , patient lied in left lateral position on the </w:t>
      </w:r>
      <w:r w:rsidR="00E55CD9" w:rsidRPr="00A961CA">
        <w:rPr>
          <w:rFonts w:cstheme="majorBidi"/>
          <w:b/>
          <w:bCs/>
          <w:sz w:val="28"/>
          <w:szCs w:val="28"/>
        </w:rPr>
        <w:t>endoscopy co</w:t>
      </w:r>
      <w:r w:rsidRPr="00A961CA">
        <w:rPr>
          <w:rFonts w:cstheme="majorBidi"/>
          <w:b/>
          <w:bCs/>
          <w:sz w:val="28"/>
          <w:szCs w:val="28"/>
        </w:rPr>
        <w:t>uch with flexion of the head mouth piece was applied, monitoring  devices for blood pressure , heart rate and oxygen saturation were performed during the procedure.Then the doctor placed  the flexib</w:t>
      </w:r>
      <w:r w:rsidR="00E55CD9" w:rsidRPr="00A961CA">
        <w:rPr>
          <w:rFonts w:cstheme="majorBidi"/>
          <w:b/>
          <w:bCs/>
          <w:sz w:val="28"/>
          <w:szCs w:val="28"/>
        </w:rPr>
        <w:t>le tube through the mouth</w:t>
      </w:r>
      <w:r w:rsidRPr="00A961CA">
        <w:rPr>
          <w:rFonts w:cstheme="majorBidi"/>
          <w:b/>
          <w:bCs/>
          <w:sz w:val="28"/>
          <w:szCs w:val="28"/>
        </w:rPr>
        <w:t xml:space="preserve">,when the patient swallow ,then the doctor gently advanced the scope down to the esophagus ,stomach , then when reached the duodenum ,the endoscopist gave special attention to the first and second part of the duodenum </w:t>
      </w:r>
    </w:p>
    <w:p w:rsidR="00534809" w:rsidRPr="00A961CA" w:rsidRDefault="00534809" w:rsidP="00534809">
      <w:pPr>
        <w:rPr>
          <w:rFonts w:cstheme="majorBidi"/>
          <w:b/>
          <w:bCs/>
          <w:sz w:val="28"/>
          <w:szCs w:val="28"/>
        </w:rPr>
      </w:pPr>
      <w:r w:rsidRPr="00A961CA">
        <w:rPr>
          <w:rFonts w:cstheme="majorBidi"/>
          <w:b/>
          <w:bCs/>
          <w:sz w:val="28"/>
          <w:szCs w:val="28"/>
        </w:rPr>
        <w:t xml:space="preserve">Endoscopic features of celiac disease include mosaic pattern ,scalloped folds ,reduction in number or loss of fold  and visible under lying blood vessels. For histopathological examination, 4-6 biopsies were obtained from the second section of the duodenum by endoscopic biopsy forceps. The duodenal biopsy specimens were fixed immediately in formalin solutions for 4-6 hours (h) at room temperature and were routinely processed for conventional histological evaluation. Small intestinal histologic features were interpreted according to </w:t>
      </w:r>
      <w:r w:rsidR="00E55CD9" w:rsidRPr="00A961CA">
        <w:rPr>
          <w:rFonts w:cstheme="majorBidi"/>
          <w:b/>
          <w:bCs/>
          <w:sz w:val="28"/>
          <w:szCs w:val="28"/>
        </w:rPr>
        <w:t>the modefied Marsh criteria</w:t>
      </w:r>
      <w:r w:rsidRPr="00A961CA">
        <w:rPr>
          <w:rFonts w:cstheme="majorBidi"/>
          <w:b/>
          <w:bCs/>
          <w:sz w:val="28"/>
          <w:szCs w:val="28"/>
        </w:rPr>
        <w:t>. This scoring system comprises a spectrum</w:t>
      </w:r>
      <w:r w:rsidR="000C19BF">
        <w:rPr>
          <w:rFonts w:cstheme="majorBidi"/>
          <w:b/>
          <w:bCs/>
          <w:sz w:val="28"/>
          <w:szCs w:val="28"/>
        </w:rPr>
        <w:t xml:space="preserve"> </w:t>
      </w:r>
      <w:r w:rsidRPr="00A961CA">
        <w:rPr>
          <w:rFonts w:cstheme="majorBidi"/>
          <w:b/>
          <w:bCs/>
          <w:sz w:val="28"/>
          <w:szCs w:val="28"/>
        </w:rPr>
        <w:t xml:space="preserve">of consecutive mucosal abnormalities that can be seen in gluten sensitive enteropathy. Marsh 0 is described as normal mucosal architecture, without significant intraepithelial lymphocytic infiltration. Marsh I (lymphocytic enteritis) is normal mucosal architecture with a marked infiltration of villous epithelium by lymphocytes; marked is defined as more than 30 lymphocytes per 100 enterocytes. Marsh-II (lymphocytic enteritis with crypt hyperplasia) consists of intraepithelial lymphocytosis and elongation and branching of crypts in which there is an increased proliferation of epithelial cells. Marsh-III comprises intraepithelial lymphocytosis, crypt hyperplasia, and villous atrophy. There are three distinct stages of villous atrophy. 18, 19 In Marsh IIIA, partial villous atrophy, the villi are blunt and shortened. Arbitrarily, samples classified as partial villous atrophy if the villus-crypt ratio was less than 1:1. In Marsh IIIB, subtotal villous atrophy, villi are clearly atrophic, but still recognizable, and in Marsh IIIC, total villous atrophy, villi are rudimentary or absent, and the mucosa resemble colonic mucosa. Although characteristic histological features of </w:t>
      </w:r>
      <w:r w:rsidRPr="00A961CA">
        <w:rPr>
          <w:rFonts w:cstheme="majorBidi"/>
          <w:b/>
          <w:bCs/>
          <w:sz w:val="28"/>
          <w:szCs w:val="28"/>
        </w:rPr>
        <w:lastRenderedPageBreak/>
        <w:t>proximal small bowel villous atrophy (either total or subtotal) with associated crypt hyperplasia and intraepithelial lymphocytosis are the hallmark of diagnosing</w:t>
      </w:r>
      <w:r w:rsidR="00117C7C" w:rsidRPr="00A961CA">
        <w:rPr>
          <w:rFonts w:cstheme="majorBidi"/>
          <w:b/>
          <w:bCs/>
          <w:sz w:val="28"/>
          <w:szCs w:val="28"/>
        </w:rPr>
        <w:t xml:space="preserve"> of celiac disease .then we went to the central laboratory in Al-Hussein teaching hospital to get the duodenal biopsy results.</w:t>
      </w:r>
    </w:p>
    <w:p w:rsidR="00117C7C" w:rsidRPr="00A961CA" w:rsidRDefault="00117C7C" w:rsidP="00117C7C">
      <w:pPr>
        <w:rPr>
          <w:rFonts w:cstheme="majorBidi"/>
          <w:b/>
          <w:bCs/>
          <w:sz w:val="28"/>
          <w:szCs w:val="28"/>
        </w:rPr>
      </w:pPr>
    </w:p>
    <w:p w:rsidR="00A42A03" w:rsidRPr="00A961CA" w:rsidRDefault="00A42A03" w:rsidP="00A42A03">
      <w:pPr>
        <w:rPr>
          <w:rFonts w:cstheme="majorBidi"/>
          <w:b/>
          <w:bCs/>
          <w:sz w:val="28"/>
          <w:szCs w:val="28"/>
        </w:rPr>
      </w:pPr>
      <w:r w:rsidRPr="00A961CA">
        <w:rPr>
          <w:rFonts w:cstheme="majorBidi"/>
          <w:b/>
          <w:bCs/>
          <w:sz w:val="28"/>
          <w:szCs w:val="28"/>
        </w:rPr>
        <w:t>Patient Demographics</w:t>
      </w:r>
    </w:p>
    <w:p w:rsidR="00A42A03" w:rsidRPr="00A961CA" w:rsidRDefault="00A42A03" w:rsidP="00A42A03">
      <w:pPr>
        <w:rPr>
          <w:rFonts w:cstheme="majorBidi"/>
          <w:b/>
          <w:bCs/>
          <w:sz w:val="28"/>
          <w:szCs w:val="28"/>
        </w:rPr>
      </w:pPr>
    </w:p>
    <w:p w:rsidR="00A42A03" w:rsidRPr="00A961CA" w:rsidRDefault="00413A91" w:rsidP="00A42A03">
      <w:pPr>
        <w:rPr>
          <w:b/>
          <w:bCs/>
          <w:sz w:val="28"/>
          <w:szCs w:val="28"/>
        </w:rPr>
      </w:pPr>
      <w:r w:rsidRPr="00A961CA">
        <w:rPr>
          <w:b/>
          <w:bCs/>
          <w:sz w:val="28"/>
          <w:szCs w:val="28"/>
        </w:rPr>
        <w:t xml:space="preserve">Three hundred forty </w:t>
      </w:r>
      <w:r w:rsidR="00A42A03" w:rsidRPr="00A961CA">
        <w:rPr>
          <w:b/>
          <w:bCs/>
          <w:sz w:val="28"/>
          <w:szCs w:val="28"/>
        </w:rPr>
        <w:t>consecutive patients with iron-deficiency ane</w:t>
      </w:r>
      <w:r w:rsidRPr="00A961CA">
        <w:rPr>
          <w:b/>
          <w:bCs/>
          <w:sz w:val="28"/>
          <w:szCs w:val="28"/>
        </w:rPr>
        <w:t xml:space="preserve">mia </w:t>
      </w:r>
      <w:r w:rsidR="00B619FE" w:rsidRPr="00A961CA">
        <w:rPr>
          <w:b/>
          <w:bCs/>
          <w:sz w:val="28"/>
          <w:szCs w:val="28"/>
        </w:rPr>
        <w:t>were screened for the stud</w:t>
      </w:r>
      <w:r w:rsidR="00AD0352" w:rsidRPr="00A961CA">
        <w:rPr>
          <w:b/>
          <w:bCs/>
          <w:sz w:val="28"/>
          <w:szCs w:val="28"/>
        </w:rPr>
        <w:t xml:space="preserve">y. Three hundred  eight </w:t>
      </w:r>
      <w:r w:rsidR="00A42A03" w:rsidRPr="00A961CA">
        <w:rPr>
          <w:b/>
          <w:bCs/>
          <w:sz w:val="28"/>
          <w:szCs w:val="28"/>
        </w:rPr>
        <w:t xml:space="preserve"> of these patients met the inclusion and exclusion criteria and had follow-up data ava</w:t>
      </w:r>
      <w:r w:rsidR="00F05B9C">
        <w:rPr>
          <w:b/>
          <w:bCs/>
          <w:sz w:val="28"/>
          <w:szCs w:val="28"/>
        </w:rPr>
        <w:t xml:space="preserve">ilable for analysis. Thirty-five </w:t>
      </w:r>
      <w:r w:rsidR="00A42A03" w:rsidRPr="00A961CA">
        <w:rPr>
          <w:b/>
          <w:bCs/>
          <w:sz w:val="28"/>
          <w:szCs w:val="28"/>
        </w:rPr>
        <w:t xml:space="preserve">patients were excluded because of the following: history of overt gastrointestinal bleeding </w:t>
      </w:r>
      <w:r w:rsidR="00684096" w:rsidRPr="00A961CA">
        <w:rPr>
          <w:b/>
          <w:bCs/>
          <w:sz w:val="28"/>
          <w:szCs w:val="28"/>
        </w:rPr>
        <w:t>in the previous 3 months (n = 14</w:t>
      </w:r>
      <w:r w:rsidR="00A42A03" w:rsidRPr="00A961CA">
        <w:rPr>
          <w:b/>
          <w:bCs/>
          <w:sz w:val="28"/>
          <w:szCs w:val="28"/>
        </w:rPr>
        <w:t xml:space="preserve">), history of gastrointestinal malignancy </w:t>
      </w:r>
      <w:r w:rsidR="00684096" w:rsidRPr="00A961CA">
        <w:rPr>
          <w:b/>
          <w:bCs/>
          <w:sz w:val="28"/>
          <w:szCs w:val="28"/>
        </w:rPr>
        <w:t>(n = 10), uncooperative patients (n = 4), and non fasting patients</w:t>
      </w:r>
      <w:r w:rsidR="000C19BF">
        <w:rPr>
          <w:b/>
          <w:bCs/>
          <w:sz w:val="28"/>
          <w:szCs w:val="28"/>
        </w:rPr>
        <w:t>(n = 4),in adequate biopsy ( n=3),</w:t>
      </w:r>
    </w:p>
    <w:p w:rsidR="00A42A03" w:rsidRPr="00A961CA" w:rsidRDefault="00A42A03" w:rsidP="00A42A03">
      <w:pPr>
        <w:rPr>
          <w:sz w:val="28"/>
          <w:szCs w:val="28"/>
        </w:rPr>
      </w:pPr>
    </w:p>
    <w:p w:rsidR="00117C7C" w:rsidRPr="00A961CA" w:rsidRDefault="00117C7C" w:rsidP="00413A91">
      <w:pPr>
        <w:autoSpaceDE w:val="0"/>
        <w:autoSpaceDN w:val="0"/>
        <w:adjustRightInd w:val="0"/>
        <w:spacing w:after="0" w:line="240" w:lineRule="auto"/>
        <w:rPr>
          <w:rFonts w:eastAsia="TimesNewRomanMTStd" w:cstheme="majorBidi"/>
          <w:b/>
          <w:bCs/>
          <w:sz w:val="28"/>
          <w:szCs w:val="28"/>
        </w:rPr>
      </w:pPr>
    </w:p>
    <w:p w:rsidR="00E55CD9" w:rsidRPr="00A961CA" w:rsidRDefault="00E55CD9" w:rsidP="00413A91">
      <w:pPr>
        <w:autoSpaceDE w:val="0"/>
        <w:autoSpaceDN w:val="0"/>
        <w:adjustRightInd w:val="0"/>
        <w:spacing w:after="0" w:line="240" w:lineRule="auto"/>
        <w:rPr>
          <w:rFonts w:cs="HelveticaLTStd-Bold"/>
          <w:b/>
          <w:bCs/>
          <w:sz w:val="20"/>
          <w:szCs w:val="20"/>
        </w:rPr>
      </w:pPr>
      <w:r w:rsidRPr="00A961CA">
        <w:rPr>
          <w:rFonts w:eastAsia="TimesNewRomanMTStd" w:cstheme="majorBidi"/>
          <w:b/>
          <w:bCs/>
          <w:sz w:val="28"/>
          <w:szCs w:val="28"/>
        </w:rPr>
        <w:t>Statistical</w:t>
      </w:r>
      <w:r w:rsidR="00F05B9C">
        <w:rPr>
          <w:rFonts w:eastAsia="TimesNewRomanMTStd" w:cstheme="majorBidi"/>
          <w:b/>
          <w:bCs/>
          <w:sz w:val="28"/>
          <w:szCs w:val="28"/>
        </w:rPr>
        <w:t xml:space="preserve"> </w:t>
      </w:r>
      <w:r w:rsidRPr="00A961CA">
        <w:rPr>
          <w:rFonts w:eastAsia="TimesNewRomanMTStd" w:cstheme="majorBidi"/>
          <w:b/>
          <w:bCs/>
          <w:sz w:val="28"/>
          <w:szCs w:val="28"/>
        </w:rPr>
        <w:t>analysis was performed using Statistical Package for the SocialSci</w:t>
      </w:r>
      <w:r w:rsidR="00413A91" w:rsidRPr="00A961CA">
        <w:rPr>
          <w:rFonts w:eastAsia="TimesNewRomanMTStd" w:cstheme="majorBidi"/>
          <w:b/>
          <w:bCs/>
          <w:sz w:val="28"/>
          <w:szCs w:val="28"/>
        </w:rPr>
        <w:t>ences (SPSS) software version 15</w:t>
      </w:r>
      <w:r w:rsidRPr="00A961CA">
        <w:rPr>
          <w:rFonts w:eastAsia="TimesNewRomanMTStd" w:cstheme="majorBidi"/>
          <w:b/>
          <w:bCs/>
          <w:sz w:val="28"/>
          <w:szCs w:val="28"/>
        </w:rPr>
        <w:t xml:space="preserve">.0, </w:t>
      </w:r>
      <w:r w:rsidRPr="00A961CA">
        <w:rPr>
          <w:rFonts w:cstheme="majorBidi"/>
          <w:b/>
          <w:bCs/>
          <w:sz w:val="28"/>
          <w:szCs w:val="28"/>
        </w:rPr>
        <w:t>t</w:t>
      </w:r>
      <w:r w:rsidRPr="00A961CA">
        <w:rPr>
          <w:rFonts w:eastAsia="TimesNewRomanMTStd" w:cstheme="majorBidi"/>
          <w:b/>
          <w:bCs/>
          <w:sz w:val="28"/>
          <w:szCs w:val="28"/>
        </w:rPr>
        <w:t>-test for comparison of</w:t>
      </w:r>
    </w:p>
    <w:p w:rsidR="00E55CD9" w:rsidRPr="00A961CA" w:rsidRDefault="00E55CD9" w:rsidP="00E55CD9">
      <w:pPr>
        <w:autoSpaceDE w:val="0"/>
        <w:autoSpaceDN w:val="0"/>
        <w:adjustRightInd w:val="0"/>
        <w:spacing w:after="0" w:line="240" w:lineRule="auto"/>
        <w:rPr>
          <w:rFonts w:eastAsia="TimesNewRomanMTStd" w:cstheme="majorBidi"/>
          <w:b/>
          <w:bCs/>
          <w:sz w:val="28"/>
          <w:szCs w:val="28"/>
        </w:rPr>
      </w:pPr>
      <w:r w:rsidRPr="00A961CA">
        <w:rPr>
          <w:rFonts w:eastAsia="TimesNewRomanMTStd" w:cstheme="majorBidi"/>
          <w:b/>
          <w:bCs/>
          <w:sz w:val="28"/>
          <w:szCs w:val="28"/>
        </w:rPr>
        <w:t>the means of quantitative variables, chi-Square test for comparison</w:t>
      </w:r>
    </w:p>
    <w:p w:rsidR="00E55CD9" w:rsidRPr="00A961CA" w:rsidRDefault="00E55CD9" w:rsidP="00E55CD9">
      <w:pPr>
        <w:autoSpaceDE w:val="0"/>
        <w:autoSpaceDN w:val="0"/>
        <w:adjustRightInd w:val="0"/>
        <w:spacing w:after="0" w:line="240" w:lineRule="auto"/>
        <w:rPr>
          <w:rFonts w:eastAsia="TimesNewRomanMTStd" w:cstheme="majorBidi"/>
          <w:b/>
          <w:bCs/>
          <w:sz w:val="28"/>
          <w:szCs w:val="28"/>
        </w:rPr>
      </w:pPr>
      <w:r w:rsidRPr="00A961CA">
        <w:rPr>
          <w:rFonts w:eastAsia="TimesNewRomanMTStd" w:cstheme="majorBidi"/>
          <w:b/>
          <w:bCs/>
          <w:sz w:val="28"/>
          <w:szCs w:val="28"/>
        </w:rPr>
        <w:t>of qualitative variables and pearson’s chi-square test</w:t>
      </w:r>
    </w:p>
    <w:p w:rsidR="00E55CD9" w:rsidRPr="00A961CA" w:rsidRDefault="00E55CD9" w:rsidP="00E55CD9">
      <w:pPr>
        <w:autoSpaceDE w:val="0"/>
        <w:autoSpaceDN w:val="0"/>
        <w:adjustRightInd w:val="0"/>
        <w:spacing w:after="0" w:line="240" w:lineRule="auto"/>
        <w:rPr>
          <w:rFonts w:eastAsia="TimesNewRomanMTStd" w:cstheme="majorBidi"/>
          <w:b/>
          <w:bCs/>
          <w:sz w:val="28"/>
          <w:szCs w:val="28"/>
        </w:rPr>
      </w:pPr>
      <w:r w:rsidRPr="00A961CA">
        <w:rPr>
          <w:rFonts w:eastAsia="TimesNewRomanMTStd" w:cstheme="majorBidi"/>
          <w:b/>
          <w:bCs/>
          <w:sz w:val="28"/>
          <w:szCs w:val="28"/>
        </w:rPr>
        <w:t>for determine correlation of between two categorical variables.</w:t>
      </w:r>
    </w:p>
    <w:p w:rsidR="00A42A03" w:rsidRPr="00A961CA" w:rsidRDefault="00E55CD9" w:rsidP="00E55CD9">
      <w:pPr>
        <w:rPr>
          <w:rFonts w:cstheme="majorBidi"/>
          <w:b/>
          <w:bCs/>
          <w:sz w:val="28"/>
          <w:szCs w:val="28"/>
        </w:rPr>
      </w:pPr>
      <w:r w:rsidRPr="00A961CA">
        <w:rPr>
          <w:rFonts w:cstheme="majorBidi"/>
          <w:b/>
          <w:bCs/>
          <w:sz w:val="28"/>
          <w:szCs w:val="28"/>
        </w:rPr>
        <w:t>P</w:t>
      </w:r>
      <w:r w:rsidRPr="00A961CA">
        <w:rPr>
          <w:rFonts w:eastAsia="TimesNewRomanMTStd" w:cstheme="majorBidi"/>
          <w:b/>
          <w:bCs/>
          <w:sz w:val="28"/>
          <w:szCs w:val="28"/>
        </w:rPr>
        <w:t>&lt;0.05 was considered statistically significant</w:t>
      </w:r>
    </w:p>
    <w:p w:rsidR="00E55CD9" w:rsidRPr="00007935" w:rsidRDefault="00E55CD9" w:rsidP="00DC6BF6">
      <w:pPr>
        <w:rPr>
          <w:rFonts w:asciiTheme="majorBidi" w:hAnsiTheme="majorBidi" w:cstheme="majorBidi"/>
          <w:b/>
          <w:bCs/>
          <w:sz w:val="28"/>
          <w:szCs w:val="28"/>
        </w:rPr>
      </w:pPr>
    </w:p>
    <w:p w:rsidR="00A42A03" w:rsidRPr="00A42A03" w:rsidRDefault="00A42A03" w:rsidP="00A42A03">
      <w:pPr>
        <w:rPr>
          <w:sz w:val="28"/>
          <w:szCs w:val="28"/>
        </w:rPr>
      </w:pPr>
    </w:p>
    <w:p w:rsidR="007110FC" w:rsidRDefault="007110FC" w:rsidP="00A42A03">
      <w:pPr>
        <w:rPr>
          <w:b/>
          <w:bCs/>
          <w:color w:val="FF0000"/>
          <w:sz w:val="36"/>
          <w:szCs w:val="36"/>
        </w:rPr>
      </w:pPr>
    </w:p>
    <w:p w:rsidR="00A42A03" w:rsidRPr="00AD0352" w:rsidRDefault="00A42A03" w:rsidP="00A42A03">
      <w:pPr>
        <w:rPr>
          <w:b/>
          <w:bCs/>
          <w:color w:val="FF0000"/>
          <w:sz w:val="36"/>
          <w:szCs w:val="36"/>
        </w:rPr>
      </w:pPr>
      <w:r w:rsidRPr="00AD0352">
        <w:rPr>
          <w:b/>
          <w:bCs/>
          <w:color w:val="FF0000"/>
          <w:sz w:val="36"/>
          <w:szCs w:val="36"/>
        </w:rPr>
        <w:t>Results</w:t>
      </w:r>
    </w:p>
    <w:p w:rsidR="00A42A03" w:rsidRPr="00A42A03" w:rsidRDefault="00A42A03" w:rsidP="00A42A03">
      <w:pPr>
        <w:rPr>
          <w:sz w:val="28"/>
          <w:szCs w:val="28"/>
        </w:rPr>
      </w:pPr>
    </w:p>
    <w:p w:rsidR="00555305" w:rsidRPr="00A961CA" w:rsidRDefault="00622BF5" w:rsidP="00E54DCD">
      <w:pPr>
        <w:rPr>
          <w:rFonts w:cstheme="majorBidi"/>
          <w:b/>
          <w:bCs/>
          <w:sz w:val="28"/>
          <w:szCs w:val="28"/>
        </w:rPr>
      </w:pPr>
      <w:r w:rsidRPr="00A961CA">
        <w:rPr>
          <w:rFonts w:cstheme="majorBidi"/>
          <w:b/>
          <w:bCs/>
          <w:sz w:val="28"/>
          <w:szCs w:val="28"/>
        </w:rPr>
        <w:t>From 1763 patients that attended the gastroentology department of  Al_Hussein teaching hospital in 2018 .</w:t>
      </w:r>
      <w:r w:rsidR="0045742F" w:rsidRPr="00A961CA">
        <w:rPr>
          <w:rFonts w:cstheme="majorBidi"/>
          <w:b/>
          <w:bCs/>
          <w:sz w:val="28"/>
          <w:szCs w:val="28"/>
        </w:rPr>
        <w:t>about 308 patients had IDA , 226 were female (73.4%) and 82 were male (26.6%) .</w:t>
      </w:r>
      <w:r w:rsidR="005F1510" w:rsidRPr="00A961CA">
        <w:rPr>
          <w:rFonts w:cstheme="majorBidi"/>
          <w:b/>
          <w:bCs/>
          <w:sz w:val="28"/>
          <w:szCs w:val="28"/>
        </w:rPr>
        <w:t>.</w:t>
      </w:r>
      <w:r w:rsidR="00A448EF" w:rsidRPr="00A961CA">
        <w:rPr>
          <w:rFonts w:cstheme="majorBidi"/>
          <w:b/>
          <w:bCs/>
          <w:sz w:val="28"/>
          <w:szCs w:val="28"/>
        </w:rPr>
        <w:t>with differen</w:t>
      </w:r>
      <w:r w:rsidR="0045742F" w:rsidRPr="00A961CA">
        <w:rPr>
          <w:rFonts w:cstheme="majorBidi"/>
          <w:b/>
          <w:bCs/>
          <w:sz w:val="28"/>
          <w:szCs w:val="28"/>
        </w:rPr>
        <w:t>t age group fom 6 to 100</w:t>
      </w:r>
      <w:r w:rsidR="00F05B9C">
        <w:rPr>
          <w:rFonts w:cstheme="majorBidi"/>
          <w:b/>
          <w:bCs/>
          <w:sz w:val="28"/>
          <w:szCs w:val="28"/>
        </w:rPr>
        <w:t xml:space="preserve"> </w:t>
      </w:r>
      <w:r w:rsidR="002B59C8">
        <w:rPr>
          <w:rFonts w:cstheme="majorBidi" w:hint="cs"/>
          <w:b/>
          <w:bCs/>
          <w:sz w:val="28"/>
          <w:szCs w:val="28"/>
        </w:rPr>
        <w:t>year</w:t>
      </w:r>
      <w:r w:rsidR="00E84E7E">
        <w:rPr>
          <w:rFonts w:cstheme="majorBidi" w:hint="cs"/>
          <w:b/>
          <w:bCs/>
          <w:sz w:val="28"/>
          <w:szCs w:val="28"/>
        </w:rPr>
        <w:t>s</w:t>
      </w:r>
      <w:r w:rsidR="0045742F" w:rsidRPr="00A961CA">
        <w:rPr>
          <w:rFonts w:cstheme="majorBidi"/>
          <w:b/>
          <w:bCs/>
          <w:sz w:val="28"/>
          <w:szCs w:val="28"/>
        </w:rPr>
        <w:t xml:space="preserve">.table </w:t>
      </w:r>
      <w:r w:rsidR="00E84E7E">
        <w:rPr>
          <w:rFonts w:cstheme="majorBidi" w:hint="cs"/>
          <w:b/>
          <w:bCs/>
          <w:sz w:val="28"/>
          <w:szCs w:val="28"/>
        </w:rPr>
        <w:t>1</w:t>
      </w:r>
      <w:r w:rsidR="00A448EF" w:rsidRPr="00A961CA">
        <w:rPr>
          <w:rFonts w:cstheme="majorBidi"/>
          <w:b/>
          <w:bCs/>
          <w:sz w:val="28"/>
          <w:szCs w:val="28"/>
        </w:rPr>
        <w:t xml:space="preserve"> shows the age groups with obscure IDA .the mean serum ferriten was 8.6 ,HB was 8.04, MCV was 63.04 .</w:t>
      </w:r>
      <w:r w:rsidR="000C19BF">
        <w:rPr>
          <w:rFonts w:cstheme="majorBidi"/>
          <w:b/>
          <w:bCs/>
          <w:sz w:val="28"/>
          <w:szCs w:val="28"/>
        </w:rPr>
        <w:t>Onl</w:t>
      </w:r>
      <w:r w:rsidR="00E77E75" w:rsidRPr="00A961CA">
        <w:rPr>
          <w:rFonts w:cstheme="majorBidi"/>
          <w:b/>
          <w:bCs/>
          <w:sz w:val="28"/>
          <w:szCs w:val="28"/>
        </w:rPr>
        <w:t>y 86 of these patients had brought with them their tests prior to endoscopy.72 had positive results .30 of them had positive ATTG IGA While</w:t>
      </w:r>
      <w:r w:rsidR="0045742F" w:rsidRPr="00A961CA">
        <w:rPr>
          <w:rFonts w:cstheme="majorBidi"/>
          <w:b/>
          <w:bCs/>
          <w:sz w:val="28"/>
          <w:szCs w:val="28"/>
        </w:rPr>
        <w:t xml:space="preserve"> 13 of them had positive ATTG IG</w:t>
      </w:r>
      <w:r w:rsidR="00E77E75" w:rsidRPr="00A961CA">
        <w:rPr>
          <w:rFonts w:cstheme="majorBidi"/>
          <w:b/>
          <w:bCs/>
          <w:sz w:val="28"/>
          <w:szCs w:val="28"/>
        </w:rPr>
        <w:t>g</w:t>
      </w:r>
      <w:r w:rsidR="00F05B9C">
        <w:rPr>
          <w:rFonts w:cstheme="majorBidi"/>
          <w:b/>
          <w:bCs/>
          <w:sz w:val="28"/>
          <w:szCs w:val="28"/>
        </w:rPr>
        <w:t xml:space="preserve"> </w:t>
      </w:r>
      <w:r w:rsidR="00E77E75" w:rsidRPr="00A961CA">
        <w:rPr>
          <w:rFonts w:cstheme="majorBidi"/>
          <w:b/>
          <w:bCs/>
          <w:sz w:val="28"/>
          <w:szCs w:val="28"/>
        </w:rPr>
        <w:t>,and 29 had positive both ATTG.</w:t>
      </w:r>
      <w:r w:rsidR="005136C4" w:rsidRPr="00A961CA">
        <w:rPr>
          <w:rFonts w:cstheme="majorBidi"/>
          <w:b/>
          <w:bCs/>
          <w:sz w:val="28"/>
          <w:szCs w:val="28"/>
        </w:rPr>
        <w:t xml:space="preserve"> All 308 patients with IDA underwent OGD examination .the</w:t>
      </w:r>
      <w:r w:rsidR="00F05B9C">
        <w:rPr>
          <w:rFonts w:cstheme="majorBidi"/>
          <w:b/>
          <w:bCs/>
          <w:sz w:val="28"/>
          <w:szCs w:val="28"/>
        </w:rPr>
        <w:t xml:space="preserve"> </w:t>
      </w:r>
      <w:r w:rsidR="005136C4" w:rsidRPr="00A961CA">
        <w:rPr>
          <w:rFonts w:cstheme="majorBidi"/>
          <w:b/>
          <w:bCs/>
          <w:sz w:val="28"/>
          <w:szCs w:val="28"/>
        </w:rPr>
        <w:t xml:space="preserve">endoscopy findings show in table 3 </w:t>
      </w:r>
      <w:r w:rsidR="00DD291E" w:rsidRPr="00A961CA">
        <w:rPr>
          <w:rFonts w:cstheme="majorBidi"/>
          <w:b/>
          <w:bCs/>
          <w:sz w:val="28"/>
          <w:szCs w:val="28"/>
        </w:rPr>
        <w:t xml:space="preserve">. we found </w:t>
      </w:r>
      <w:r w:rsidR="007D2427" w:rsidRPr="00A961CA">
        <w:rPr>
          <w:rFonts w:cstheme="majorBidi"/>
          <w:b/>
          <w:bCs/>
          <w:sz w:val="28"/>
          <w:szCs w:val="28"/>
        </w:rPr>
        <w:t xml:space="preserve">that 111 patients (36.0)  had </w:t>
      </w:r>
    </w:p>
    <w:tbl>
      <w:tblPr>
        <w:tblStyle w:val="TableGrid"/>
        <w:tblpPr w:leftFromText="180" w:rightFromText="180" w:vertAnchor="text" w:tblpY="1"/>
        <w:tblOverlap w:val="never"/>
        <w:tblW w:w="7196" w:type="dxa"/>
        <w:tblLayout w:type="fixed"/>
        <w:tblLook w:val="04A0" w:firstRow="1" w:lastRow="0" w:firstColumn="1" w:lastColumn="0" w:noHBand="0" w:noVBand="1"/>
      </w:tblPr>
      <w:tblGrid>
        <w:gridCol w:w="1765"/>
        <w:gridCol w:w="1365"/>
        <w:gridCol w:w="1191"/>
        <w:gridCol w:w="1229"/>
        <w:gridCol w:w="1646"/>
      </w:tblGrid>
      <w:tr w:rsidR="00555305" w:rsidRPr="00A961CA" w:rsidTr="001F5028">
        <w:trPr>
          <w:trHeight w:val="524"/>
        </w:trPr>
        <w:tc>
          <w:tcPr>
            <w:tcW w:w="1765" w:type="dxa"/>
          </w:tcPr>
          <w:p w:rsidR="00555305" w:rsidRPr="00A961CA" w:rsidRDefault="00555305" w:rsidP="001F5028">
            <w:pPr>
              <w:rPr>
                <w:rFonts w:cstheme="majorBidi"/>
                <w:b/>
                <w:bCs/>
                <w:i/>
                <w:iCs/>
                <w:color w:val="FF0000"/>
                <w:sz w:val="28"/>
                <w:szCs w:val="28"/>
              </w:rPr>
            </w:pPr>
            <w:r w:rsidRPr="00A961CA">
              <w:rPr>
                <w:rFonts w:cstheme="majorBidi"/>
                <w:b/>
                <w:bCs/>
                <w:i/>
                <w:iCs/>
                <w:color w:val="FF0000"/>
                <w:sz w:val="28"/>
                <w:szCs w:val="28"/>
              </w:rPr>
              <w:t>groups</w:t>
            </w:r>
          </w:p>
        </w:tc>
        <w:tc>
          <w:tcPr>
            <w:tcW w:w="1365" w:type="dxa"/>
          </w:tcPr>
          <w:p w:rsidR="00555305" w:rsidRPr="00A961CA" w:rsidRDefault="00555305" w:rsidP="001F5028">
            <w:pPr>
              <w:rPr>
                <w:b/>
                <w:bCs/>
                <w:i/>
                <w:iCs/>
                <w:color w:val="FF0000"/>
                <w:sz w:val="28"/>
                <w:szCs w:val="28"/>
              </w:rPr>
            </w:pPr>
            <w:r w:rsidRPr="00A961CA">
              <w:rPr>
                <w:b/>
                <w:bCs/>
                <w:i/>
                <w:iCs/>
                <w:color w:val="FF0000"/>
                <w:sz w:val="28"/>
                <w:szCs w:val="28"/>
              </w:rPr>
              <w:t>frequency</w:t>
            </w:r>
          </w:p>
        </w:tc>
        <w:tc>
          <w:tcPr>
            <w:tcW w:w="1191" w:type="dxa"/>
          </w:tcPr>
          <w:p w:rsidR="00555305" w:rsidRPr="00A961CA" w:rsidRDefault="00555305" w:rsidP="001F5028">
            <w:pPr>
              <w:rPr>
                <w:b/>
                <w:bCs/>
                <w:i/>
                <w:iCs/>
                <w:color w:val="FF0000"/>
                <w:sz w:val="28"/>
                <w:szCs w:val="28"/>
              </w:rPr>
            </w:pPr>
            <w:r w:rsidRPr="00A961CA">
              <w:rPr>
                <w:b/>
                <w:bCs/>
                <w:i/>
                <w:iCs/>
                <w:color w:val="FF0000"/>
                <w:sz w:val="28"/>
                <w:szCs w:val="28"/>
              </w:rPr>
              <w:t>male</w:t>
            </w:r>
          </w:p>
        </w:tc>
        <w:tc>
          <w:tcPr>
            <w:tcW w:w="1229" w:type="dxa"/>
          </w:tcPr>
          <w:p w:rsidR="00555305" w:rsidRPr="00A961CA" w:rsidRDefault="00555305" w:rsidP="001F5028">
            <w:pPr>
              <w:rPr>
                <w:b/>
                <w:bCs/>
                <w:i/>
                <w:iCs/>
                <w:color w:val="FF0000"/>
                <w:sz w:val="28"/>
                <w:szCs w:val="28"/>
              </w:rPr>
            </w:pPr>
            <w:r w:rsidRPr="00A961CA">
              <w:rPr>
                <w:b/>
                <w:bCs/>
                <w:i/>
                <w:iCs/>
                <w:color w:val="FF0000"/>
                <w:sz w:val="28"/>
                <w:szCs w:val="28"/>
              </w:rPr>
              <w:t>female</w:t>
            </w:r>
          </w:p>
        </w:tc>
        <w:tc>
          <w:tcPr>
            <w:tcW w:w="1646" w:type="dxa"/>
          </w:tcPr>
          <w:p w:rsidR="00555305" w:rsidRPr="00A961CA" w:rsidRDefault="00555305" w:rsidP="001F5028">
            <w:pPr>
              <w:rPr>
                <w:b/>
                <w:bCs/>
                <w:i/>
                <w:iCs/>
                <w:color w:val="FF0000"/>
                <w:sz w:val="28"/>
                <w:szCs w:val="28"/>
              </w:rPr>
            </w:pPr>
            <w:r w:rsidRPr="00A961CA">
              <w:rPr>
                <w:b/>
                <w:bCs/>
                <w:i/>
                <w:iCs/>
                <w:color w:val="FF0000"/>
                <w:sz w:val="28"/>
                <w:szCs w:val="28"/>
              </w:rPr>
              <w:t>percentage</w:t>
            </w:r>
          </w:p>
        </w:tc>
      </w:tr>
      <w:tr w:rsidR="00555305" w:rsidRPr="00A961CA" w:rsidTr="001F5028">
        <w:trPr>
          <w:trHeight w:val="70"/>
        </w:trPr>
        <w:tc>
          <w:tcPr>
            <w:tcW w:w="1765" w:type="dxa"/>
          </w:tcPr>
          <w:p w:rsidR="00555305" w:rsidRPr="00A961CA" w:rsidRDefault="00555305" w:rsidP="001F5028">
            <w:pPr>
              <w:rPr>
                <w:rFonts w:cstheme="majorBidi"/>
                <w:b/>
                <w:bCs/>
                <w:sz w:val="28"/>
                <w:szCs w:val="28"/>
              </w:rPr>
            </w:pPr>
            <w:r w:rsidRPr="00A961CA">
              <w:rPr>
                <w:rFonts w:cstheme="majorBidi"/>
                <w:b/>
                <w:bCs/>
                <w:sz w:val="28"/>
                <w:szCs w:val="28"/>
              </w:rPr>
              <w:t>Less than 15</w:t>
            </w:r>
          </w:p>
        </w:tc>
        <w:tc>
          <w:tcPr>
            <w:tcW w:w="1365" w:type="dxa"/>
          </w:tcPr>
          <w:p w:rsidR="00555305" w:rsidRPr="00A961CA" w:rsidRDefault="00555305" w:rsidP="001F5028">
            <w:pPr>
              <w:rPr>
                <w:rFonts w:cstheme="majorBidi"/>
                <w:b/>
                <w:bCs/>
                <w:sz w:val="28"/>
                <w:szCs w:val="28"/>
              </w:rPr>
            </w:pPr>
            <w:r w:rsidRPr="00A961CA">
              <w:rPr>
                <w:rFonts w:cstheme="majorBidi"/>
                <w:b/>
                <w:bCs/>
                <w:sz w:val="28"/>
                <w:szCs w:val="28"/>
              </w:rPr>
              <w:t>14</w:t>
            </w:r>
          </w:p>
        </w:tc>
        <w:tc>
          <w:tcPr>
            <w:tcW w:w="1191" w:type="dxa"/>
          </w:tcPr>
          <w:p w:rsidR="00555305" w:rsidRPr="00A961CA" w:rsidRDefault="001F5028" w:rsidP="001F5028">
            <w:pPr>
              <w:rPr>
                <w:rFonts w:cstheme="majorBidi"/>
                <w:b/>
                <w:bCs/>
                <w:sz w:val="28"/>
                <w:szCs w:val="28"/>
              </w:rPr>
            </w:pPr>
            <w:r w:rsidRPr="00A961CA">
              <w:rPr>
                <w:rFonts w:cstheme="majorBidi"/>
                <w:b/>
                <w:bCs/>
                <w:sz w:val="28"/>
                <w:szCs w:val="28"/>
              </w:rPr>
              <w:t>6</w:t>
            </w:r>
          </w:p>
        </w:tc>
        <w:tc>
          <w:tcPr>
            <w:tcW w:w="1229" w:type="dxa"/>
          </w:tcPr>
          <w:p w:rsidR="00555305" w:rsidRPr="00A961CA" w:rsidRDefault="001F5028" w:rsidP="001F5028">
            <w:pPr>
              <w:rPr>
                <w:rFonts w:cstheme="majorBidi"/>
                <w:b/>
                <w:bCs/>
                <w:sz w:val="28"/>
                <w:szCs w:val="28"/>
              </w:rPr>
            </w:pPr>
            <w:r w:rsidRPr="00A961CA">
              <w:rPr>
                <w:rFonts w:cstheme="majorBidi"/>
                <w:b/>
                <w:bCs/>
                <w:sz w:val="28"/>
                <w:szCs w:val="28"/>
              </w:rPr>
              <w:t>8</w:t>
            </w:r>
          </w:p>
        </w:tc>
        <w:tc>
          <w:tcPr>
            <w:tcW w:w="1646" w:type="dxa"/>
          </w:tcPr>
          <w:p w:rsidR="00555305" w:rsidRPr="00A961CA" w:rsidRDefault="00555305" w:rsidP="001F5028">
            <w:pPr>
              <w:rPr>
                <w:rFonts w:cstheme="majorBidi"/>
                <w:b/>
                <w:bCs/>
                <w:sz w:val="28"/>
                <w:szCs w:val="28"/>
              </w:rPr>
            </w:pPr>
            <w:r w:rsidRPr="00A961CA">
              <w:rPr>
                <w:rFonts w:cstheme="majorBidi"/>
                <w:b/>
                <w:bCs/>
                <w:sz w:val="28"/>
                <w:szCs w:val="28"/>
              </w:rPr>
              <w:t>4.5</w:t>
            </w:r>
            <w:r w:rsidR="001F5028" w:rsidRPr="00A961CA">
              <w:rPr>
                <w:rFonts w:cstheme="majorBidi"/>
                <w:b/>
                <w:bCs/>
                <w:sz w:val="28"/>
                <w:szCs w:val="28"/>
              </w:rPr>
              <w:t>%</w:t>
            </w:r>
          </w:p>
        </w:tc>
      </w:tr>
      <w:tr w:rsidR="00555305" w:rsidRPr="00A961CA" w:rsidTr="001F5028">
        <w:tc>
          <w:tcPr>
            <w:tcW w:w="1765" w:type="dxa"/>
          </w:tcPr>
          <w:p w:rsidR="00555305" w:rsidRPr="00A961CA" w:rsidRDefault="00555305" w:rsidP="001F5028">
            <w:pPr>
              <w:rPr>
                <w:rFonts w:cstheme="majorBidi"/>
                <w:b/>
                <w:bCs/>
                <w:sz w:val="28"/>
                <w:szCs w:val="28"/>
              </w:rPr>
            </w:pPr>
            <w:r w:rsidRPr="00A961CA">
              <w:rPr>
                <w:rFonts w:cstheme="majorBidi"/>
                <w:b/>
                <w:bCs/>
                <w:sz w:val="28"/>
                <w:szCs w:val="28"/>
              </w:rPr>
              <w:t>15 to 30</w:t>
            </w:r>
          </w:p>
        </w:tc>
        <w:tc>
          <w:tcPr>
            <w:tcW w:w="1365" w:type="dxa"/>
          </w:tcPr>
          <w:p w:rsidR="00555305" w:rsidRPr="00A961CA" w:rsidRDefault="00555305" w:rsidP="001F5028">
            <w:pPr>
              <w:rPr>
                <w:rFonts w:cstheme="majorBidi"/>
                <w:b/>
                <w:bCs/>
                <w:sz w:val="28"/>
                <w:szCs w:val="28"/>
              </w:rPr>
            </w:pPr>
            <w:r w:rsidRPr="00A961CA">
              <w:rPr>
                <w:rFonts w:cstheme="majorBidi"/>
                <w:b/>
                <w:bCs/>
                <w:sz w:val="28"/>
                <w:szCs w:val="28"/>
              </w:rPr>
              <w:t>127</w:t>
            </w:r>
          </w:p>
        </w:tc>
        <w:tc>
          <w:tcPr>
            <w:tcW w:w="1191" w:type="dxa"/>
          </w:tcPr>
          <w:p w:rsidR="00555305" w:rsidRPr="00A961CA" w:rsidRDefault="001F5028" w:rsidP="001F5028">
            <w:pPr>
              <w:rPr>
                <w:rFonts w:cstheme="majorBidi"/>
                <w:b/>
                <w:bCs/>
                <w:sz w:val="28"/>
                <w:szCs w:val="28"/>
              </w:rPr>
            </w:pPr>
            <w:r w:rsidRPr="00A961CA">
              <w:rPr>
                <w:rFonts w:cstheme="majorBidi"/>
                <w:b/>
                <w:bCs/>
                <w:sz w:val="28"/>
                <w:szCs w:val="28"/>
              </w:rPr>
              <w:t>37</w:t>
            </w:r>
          </w:p>
        </w:tc>
        <w:tc>
          <w:tcPr>
            <w:tcW w:w="1229" w:type="dxa"/>
          </w:tcPr>
          <w:p w:rsidR="00555305" w:rsidRPr="00A961CA" w:rsidRDefault="001F5028" w:rsidP="001F5028">
            <w:pPr>
              <w:rPr>
                <w:rFonts w:cstheme="majorBidi"/>
                <w:b/>
                <w:bCs/>
                <w:sz w:val="28"/>
                <w:szCs w:val="28"/>
              </w:rPr>
            </w:pPr>
            <w:r w:rsidRPr="00A961CA">
              <w:rPr>
                <w:rFonts w:cstheme="majorBidi"/>
                <w:b/>
                <w:bCs/>
                <w:sz w:val="28"/>
                <w:szCs w:val="28"/>
              </w:rPr>
              <w:t>90</w:t>
            </w:r>
          </w:p>
        </w:tc>
        <w:tc>
          <w:tcPr>
            <w:tcW w:w="1646" w:type="dxa"/>
          </w:tcPr>
          <w:p w:rsidR="00555305" w:rsidRPr="00A961CA" w:rsidRDefault="00555305" w:rsidP="001F5028">
            <w:pPr>
              <w:rPr>
                <w:rFonts w:cstheme="majorBidi"/>
                <w:b/>
                <w:bCs/>
                <w:sz w:val="28"/>
                <w:szCs w:val="28"/>
              </w:rPr>
            </w:pPr>
            <w:r w:rsidRPr="00A961CA">
              <w:rPr>
                <w:rFonts w:cstheme="majorBidi"/>
                <w:b/>
                <w:bCs/>
                <w:sz w:val="28"/>
                <w:szCs w:val="28"/>
              </w:rPr>
              <w:t>41.2</w:t>
            </w:r>
            <w:r w:rsidR="001F5028" w:rsidRPr="00A961CA">
              <w:rPr>
                <w:rFonts w:cstheme="majorBidi"/>
                <w:b/>
                <w:bCs/>
                <w:sz w:val="28"/>
                <w:szCs w:val="28"/>
              </w:rPr>
              <w:t>%</w:t>
            </w:r>
          </w:p>
        </w:tc>
      </w:tr>
      <w:tr w:rsidR="00555305" w:rsidRPr="00A961CA" w:rsidTr="001F5028">
        <w:tc>
          <w:tcPr>
            <w:tcW w:w="1765" w:type="dxa"/>
          </w:tcPr>
          <w:p w:rsidR="00555305" w:rsidRPr="00A961CA" w:rsidRDefault="00555305" w:rsidP="001F5028">
            <w:pPr>
              <w:tabs>
                <w:tab w:val="left" w:pos="1605"/>
              </w:tabs>
              <w:rPr>
                <w:rFonts w:cstheme="majorBidi"/>
                <w:b/>
                <w:bCs/>
                <w:sz w:val="28"/>
                <w:szCs w:val="28"/>
              </w:rPr>
            </w:pPr>
            <w:r w:rsidRPr="00A961CA">
              <w:rPr>
                <w:rFonts w:cstheme="majorBidi"/>
                <w:b/>
                <w:bCs/>
                <w:sz w:val="28"/>
                <w:szCs w:val="28"/>
              </w:rPr>
              <w:t>31 to 45</w:t>
            </w:r>
          </w:p>
        </w:tc>
        <w:tc>
          <w:tcPr>
            <w:tcW w:w="1365" w:type="dxa"/>
          </w:tcPr>
          <w:p w:rsidR="00555305" w:rsidRPr="00A961CA" w:rsidRDefault="00555305" w:rsidP="001F5028">
            <w:pPr>
              <w:rPr>
                <w:rFonts w:cstheme="majorBidi"/>
                <w:b/>
                <w:bCs/>
                <w:sz w:val="28"/>
                <w:szCs w:val="28"/>
              </w:rPr>
            </w:pPr>
            <w:r w:rsidRPr="00A961CA">
              <w:rPr>
                <w:rFonts w:cstheme="majorBidi"/>
                <w:b/>
                <w:bCs/>
                <w:sz w:val="28"/>
                <w:szCs w:val="28"/>
              </w:rPr>
              <w:t>95</w:t>
            </w:r>
          </w:p>
        </w:tc>
        <w:tc>
          <w:tcPr>
            <w:tcW w:w="1191" w:type="dxa"/>
          </w:tcPr>
          <w:p w:rsidR="00555305" w:rsidRPr="00A961CA" w:rsidRDefault="001F5028" w:rsidP="001F5028">
            <w:pPr>
              <w:rPr>
                <w:rFonts w:cstheme="majorBidi"/>
                <w:b/>
                <w:bCs/>
                <w:sz w:val="28"/>
                <w:szCs w:val="28"/>
              </w:rPr>
            </w:pPr>
            <w:r w:rsidRPr="00A961CA">
              <w:rPr>
                <w:rFonts w:cstheme="majorBidi"/>
                <w:b/>
                <w:bCs/>
                <w:sz w:val="28"/>
                <w:szCs w:val="28"/>
              </w:rPr>
              <w:t>17</w:t>
            </w:r>
          </w:p>
        </w:tc>
        <w:tc>
          <w:tcPr>
            <w:tcW w:w="1229" w:type="dxa"/>
          </w:tcPr>
          <w:p w:rsidR="00555305" w:rsidRPr="00A961CA" w:rsidRDefault="001F5028" w:rsidP="001F5028">
            <w:pPr>
              <w:rPr>
                <w:rFonts w:cstheme="majorBidi"/>
                <w:b/>
                <w:bCs/>
                <w:sz w:val="28"/>
                <w:szCs w:val="28"/>
              </w:rPr>
            </w:pPr>
            <w:r w:rsidRPr="00A961CA">
              <w:rPr>
                <w:rFonts w:cstheme="majorBidi"/>
                <w:b/>
                <w:bCs/>
                <w:sz w:val="28"/>
                <w:szCs w:val="28"/>
              </w:rPr>
              <w:t>78</w:t>
            </w:r>
          </w:p>
        </w:tc>
        <w:tc>
          <w:tcPr>
            <w:tcW w:w="1646" w:type="dxa"/>
          </w:tcPr>
          <w:p w:rsidR="00555305" w:rsidRPr="00A961CA" w:rsidRDefault="001F5028" w:rsidP="001F5028">
            <w:pPr>
              <w:rPr>
                <w:rFonts w:cstheme="majorBidi"/>
                <w:b/>
                <w:bCs/>
                <w:sz w:val="28"/>
                <w:szCs w:val="28"/>
              </w:rPr>
            </w:pPr>
            <w:r w:rsidRPr="00A961CA">
              <w:rPr>
                <w:rFonts w:cstheme="majorBidi"/>
                <w:b/>
                <w:bCs/>
                <w:sz w:val="28"/>
                <w:szCs w:val="28"/>
              </w:rPr>
              <w:t>30.8%</w:t>
            </w:r>
          </w:p>
        </w:tc>
      </w:tr>
      <w:tr w:rsidR="00555305" w:rsidRPr="00A961CA" w:rsidTr="001F5028">
        <w:tc>
          <w:tcPr>
            <w:tcW w:w="1765" w:type="dxa"/>
          </w:tcPr>
          <w:p w:rsidR="00555305" w:rsidRPr="00A961CA" w:rsidRDefault="00555305" w:rsidP="001F5028">
            <w:pPr>
              <w:rPr>
                <w:rFonts w:cstheme="majorBidi"/>
                <w:b/>
                <w:bCs/>
                <w:sz w:val="28"/>
                <w:szCs w:val="28"/>
              </w:rPr>
            </w:pPr>
            <w:r w:rsidRPr="00A961CA">
              <w:rPr>
                <w:rFonts w:cstheme="majorBidi"/>
                <w:b/>
                <w:bCs/>
                <w:sz w:val="28"/>
                <w:szCs w:val="28"/>
              </w:rPr>
              <w:t>46 to 60</w:t>
            </w:r>
          </w:p>
        </w:tc>
        <w:tc>
          <w:tcPr>
            <w:tcW w:w="1365" w:type="dxa"/>
          </w:tcPr>
          <w:p w:rsidR="00555305" w:rsidRPr="00A961CA" w:rsidRDefault="00555305" w:rsidP="001F5028">
            <w:pPr>
              <w:rPr>
                <w:rFonts w:cstheme="majorBidi"/>
                <w:b/>
                <w:bCs/>
                <w:sz w:val="28"/>
                <w:szCs w:val="28"/>
              </w:rPr>
            </w:pPr>
            <w:r w:rsidRPr="00A961CA">
              <w:rPr>
                <w:rFonts w:cstheme="majorBidi"/>
                <w:b/>
                <w:bCs/>
                <w:sz w:val="28"/>
                <w:szCs w:val="28"/>
              </w:rPr>
              <w:t>39</w:t>
            </w:r>
          </w:p>
        </w:tc>
        <w:tc>
          <w:tcPr>
            <w:tcW w:w="1191" w:type="dxa"/>
          </w:tcPr>
          <w:p w:rsidR="00555305" w:rsidRPr="00A961CA" w:rsidRDefault="001F5028" w:rsidP="001F5028">
            <w:pPr>
              <w:rPr>
                <w:rFonts w:cstheme="majorBidi"/>
                <w:b/>
                <w:bCs/>
                <w:sz w:val="28"/>
                <w:szCs w:val="28"/>
              </w:rPr>
            </w:pPr>
            <w:r w:rsidRPr="00A961CA">
              <w:rPr>
                <w:rFonts w:cstheme="majorBidi"/>
                <w:b/>
                <w:bCs/>
                <w:sz w:val="28"/>
                <w:szCs w:val="28"/>
              </w:rPr>
              <w:t>9</w:t>
            </w:r>
          </w:p>
        </w:tc>
        <w:tc>
          <w:tcPr>
            <w:tcW w:w="1229" w:type="dxa"/>
          </w:tcPr>
          <w:p w:rsidR="00555305" w:rsidRPr="00A961CA" w:rsidRDefault="001F5028" w:rsidP="001F5028">
            <w:pPr>
              <w:rPr>
                <w:rFonts w:cstheme="majorBidi"/>
                <w:b/>
                <w:bCs/>
                <w:sz w:val="28"/>
                <w:szCs w:val="28"/>
              </w:rPr>
            </w:pPr>
            <w:r w:rsidRPr="00A961CA">
              <w:rPr>
                <w:rFonts w:cstheme="majorBidi"/>
                <w:b/>
                <w:bCs/>
                <w:sz w:val="28"/>
                <w:szCs w:val="28"/>
              </w:rPr>
              <w:t>30</w:t>
            </w:r>
          </w:p>
        </w:tc>
        <w:tc>
          <w:tcPr>
            <w:tcW w:w="1646" w:type="dxa"/>
          </w:tcPr>
          <w:p w:rsidR="00555305" w:rsidRPr="00A961CA" w:rsidRDefault="001F5028" w:rsidP="001F5028">
            <w:pPr>
              <w:rPr>
                <w:rFonts w:cstheme="majorBidi"/>
                <w:b/>
                <w:bCs/>
                <w:sz w:val="28"/>
                <w:szCs w:val="28"/>
              </w:rPr>
            </w:pPr>
            <w:r w:rsidRPr="00A961CA">
              <w:rPr>
                <w:rFonts w:cstheme="majorBidi"/>
                <w:b/>
                <w:bCs/>
                <w:sz w:val="28"/>
                <w:szCs w:val="28"/>
              </w:rPr>
              <w:t>12.7%</w:t>
            </w:r>
          </w:p>
        </w:tc>
      </w:tr>
      <w:tr w:rsidR="00555305" w:rsidRPr="00A961CA" w:rsidTr="001F5028">
        <w:tc>
          <w:tcPr>
            <w:tcW w:w="1765" w:type="dxa"/>
          </w:tcPr>
          <w:p w:rsidR="00555305" w:rsidRPr="00A961CA" w:rsidRDefault="00555305" w:rsidP="001F5028">
            <w:pPr>
              <w:rPr>
                <w:rFonts w:cstheme="majorBidi"/>
                <w:b/>
                <w:bCs/>
                <w:sz w:val="28"/>
                <w:szCs w:val="28"/>
              </w:rPr>
            </w:pPr>
            <w:r w:rsidRPr="00A961CA">
              <w:rPr>
                <w:rFonts w:cstheme="majorBidi"/>
                <w:b/>
                <w:bCs/>
                <w:sz w:val="28"/>
                <w:szCs w:val="28"/>
              </w:rPr>
              <w:t>Above 60</w:t>
            </w:r>
          </w:p>
        </w:tc>
        <w:tc>
          <w:tcPr>
            <w:tcW w:w="1365" w:type="dxa"/>
          </w:tcPr>
          <w:p w:rsidR="00555305" w:rsidRPr="00A961CA" w:rsidRDefault="00555305" w:rsidP="001F5028">
            <w:pPr>
              <w:rPr>
                <w:rFonts w:cstheme="majorBidi"/>
                <w:b/>
                <w:bCs/>
                <w:sz w:val="28"/>
                <w:szCs w:val="28"/>
              </w:rPr>
            </w:pPr>
            <w:r w:rsidRPr="00A961CA">
              <w:rPr>
                <w:rFonts w:cstheme="majorBidi"/>
                <w:b/>
                <w:bCs/>
                <w:sz w:val="28"/>
                <w:szCs w:val="28"/>
              </w:rPr>
              <w:t>33</w:t>
            </w:r>
          </w:p>
        </w:tc>
        <w:tc>
          <w:tcPr>
            <w:tcW w:w="1191" w:type="dxa"/>
          </w:tcPr>
          <w:p w:rsidR="00555305" w:rsidRPr="00A961CA" w:rsidRDefault="001F5028" w:rsidP="001F5028">
            <w:pPr>
              <w:rPr>
                <w:rFonts w:cstheme="majorBidi"/>
                <w:b/>
                <w:bCs/>
                <w:sz w:val="28"/>
                <w:szCs w:val="28"/>
              </w:rPr>
            </w:pPr>
            <w:r w:rsidRPr="00A961CA">
              <w:rPr>
                <w:rFonts w:cstheme="majorBidi"/>
                <w:b/>
                <w:bCs/>
                <w:sz w:val="28"/>
                <w:szCs w:val="28"/>
              </w:rPr>
              <w:t>13</w:t>
            </w:r>
          </w:p>
        </w:tc>
        <w:tc>
          <w:tcPr>
            <w:tcW w:w="1229" w:type="dxa"/>
          </w:tcPr>
          <w:p w:rsidR="00555305" w:rsidRPr="00A961CA" w:rsidRDefault="001F5028" w:rsidP="001F5028">
            <w:pPr>
              <w:rPr>
                <w:rFonts w:cstheme="majorBidi"/>
                <w:b/>
                <w:bCs/>
                <w:sz w:val="28"/>
                <w:szCs w:val="28"/>
              </w:rPr>
            </w:pPr>
            <w:r w:rsidRPr="00A961CA">
              <w:rPr>
                <w:rFonts w:cstheme="majorBidi"/>
                <w:b/>
                <w:bCs/>
                <w:sz w:val="28"/>
                <w:szCs w:val="28"/>
              </w:rPr>
              <w:t>20</w:t>
            </w:r>
          </w:p>
        </w:tc>
        <w:tc>
          <w:tcPr>
            <w:tcW w:w="1646" w:type="dxa"/>
          </w:tcPr>
          <w:p w:rsidR="00555305" w:rsidRPr="00A961CA" w:rsidRDefault="001F5028" w:rsidP="001F5028">
            <w:pPr>
              <w:rPr>
                <w:rFonts w:cstheme="majorBidi"/>
                <w:b/>
                <w:bCs/>
                <w:sz w:val="28"/>
                <w:szCs w:val="28"/>
              </w:rPr>
            </w:pPr>
            <w:r w:rsidRPr="00A961CA">
              <w:rPr>
                <w:rFonts w:cstheme="majorBidi"/>
                <w:b/>
                <w:bCs/>
                <w:sz w:val="28"/>
                <w:szCs w:val="28"/>
              </w:rPr>
              <w:t>10.7%</w:t>
            </w:r>
          </w:p>
        </w:tc>
      </w:tr>
      <w:tr w:rsidR="00555305" w:rsidRPr="00A961CA" w:rsidTr="001F5028">
        <w:tc>
          <w:tcPr>
            <w:tcW w:w="1765" w:type="dxa"/>
          </w:tcPr>
          <w:p w:rsidR="00555305" w:rsidRPr="00A961CA" w:rsidRDefault="00555305" w:rsidP="001F5028">
            <w:pPr>
              <w:rPr>
                <w:rFonts w:cstheme="majorBidi"/>
                <w:b/>
                <w:bCs/>
                <w:sz w:val="28"/>
                <w:szCs w:val="28"/>
              </w:rPr>
            </w:pPr>
            <w:r w:rsidRPr="00A961CA">
              <w:rPr>
                <w:rFonts w:cstheme="majorBidi"/>
                <w:b/>
                <w:bCs/>
                <w:sz w:val="28"/>
                <w:szCs w:val="28"/>
              </w:rPr>
              <w:t>total</w:t>
            </w:r>
          </w:p>
        </w:tc>
        <w:tc>
          <w:tcPr>
            <w:tcW w:w="1365" w:type="dxa"/>
          </w:tcPr>
          <w:p w:rsidR="00555305" w:rsidRPr="00A961CA" w:rsidRDefault="00555305" w:rsidP="001F5028">
            <w:pPr>
              <w:rPr>
                <w:rFonts w:cstheme="majorBidi"/>
                <w:b/>
                <w:bCs/>
                <w:sz w:val="28"/>
                <w:szCs w:val="28"/>
              </w:rPr>
            </w:pPr>
            <w:r w:rsidRPr="00A961CA">
              <w:rPr>
                <w:rFonts w:cstheme="majorBidi"/>
                <w:b/>
                <w:bCs/>
                <w:sz w:val="28"/>
                <w:szCs w:val="28"/>
              </w:rPr>
              <w:t>308</w:t>
            </w:r>
          </w:p>
        </w:tc>
        <w:tc>
          <w:tcPr>
            <w:tcW w:w="1191" w:type="dxa"/>
          </w:tcPr>
          <w:p w:rsidR="00555305" w:rsidRPr="00A961CA" w:rsidRDefault="001F5028" w:rsidP="001F5028">
            <w:pPr>
              <w:rPr>
                <w:rFonts w:cstheme="majorBidi"/>
                <w:b/>
                <w:bCs/>
                <w:sz w:val="28"/>
                <w:szCs w:val="28"/>
              </w:rPr>
            </w:pPr>
            <w:r w:rsidRPr="00A961CA">
              <w:rPr>
                <w:rFonts w:cstheme="majorBidi"/>
                <w:b/>
                <w:bCs/>
                <w:sz w:val="28"/>
                <w:szCs w:val="28"/>
              </w:rPr>
              <w:t>82</w:t>
            </w:r>
          </w:p>
        </w:tc>
        <w:tc>
          <w:tcPr>
            <w:tcW w:w="1229" w:type="dxa"/>
          </w:tcPr>
          <w:p w:rsidR="00555305" w:rsidRPr="00A961CA" w:rsidRDefault="001F5028" w:rsidP="001F5028">
            <w:pPr>
              <w:rPr>
                <w:rFonts w:cstheme="majorBidi"/>
                <w:b/>
                <w:bCs/>
                <w:sz w:val="28"/>
                <w:szCs w:val="28"/>
              </w:rPr>
            </w:pPr>
            <w:r w:rsidRPr="00A961CA">
              <w:rPr>
                <w:rFonts w:cstheme="majorBidi"/>
                <w:b/>
                <w:bCs/>
                <w:sz w:val="28"/>
                <w:szCs w:val="28"/>
              </w:rPr>
              <w:t>226</w:t>
            </w:r>
          </w:p>
        </w:tc>
        <w:tc>
          <w:tcPr>
            <w:tcW w:w="1646" w:type="dxa"/>
          </w:tcPr>
          <w:p w:rsidR="00555305" w:rsidRPr="00A961CA" w:rsidRDefault="001F5028" w:rsidP="001F5028">
            <w:pPr>
              <w:rPr>
                <w:rFonts w:cstheme="majorBidi"/>
                <w:b/>
                <w:bCs/>
                <w:sz w:val="28"/>
                <w:szCs w:val="28"/>
              </w:rPr>
            </w:pPr>
            <w:r w:rsidRPr="00A961CA">
              <w:rPr>
                <w:rFonts w:cstheme="majorBidi"/>
                <w:b/>
                <w:bCs/>
                <w:sz w:val="28"/>
                <w:szCs w:val="28"/>
              </w:rPr>
              <w:t>100.0%</w:t>
            </w:r>
          </w:p>
        </w:tc>
      </w:tr>
    </w:tbl>
    <w:p w:rsidR="001F5028" w:rsidRPr="00A961CA" w:rsidRDefault="001F5028" w:rsidP="001F5028">
      <w:pPr>
        <w:autoSpaceDE w:val="0"/>
        <w:autoSpaceDN w:val="0"/>
        <w:adjustRightInd w:val="0"/>
        <w:spacing w:after="0" w:line="240" w:lineRule="auto"/>
        <w:rPr>
          <w:rFonts w:cs="Times New Roman"/>
          <w:sz w:val="24"/>
          <w:szCs w:val="24"/>
        </w:rPr>
      </w:pPr>
    </w:p>
    <w:p w:rsidR="001F5028" w:rsidRPr="00A961CA" w:rsidRDefault="001F5028" w:rsidP="001F5028">
      <w:pPr>
        <w:autoSpaceDE w:val="0"/>
        <w:autoSpaceDN w:val="0"/>
        <w:adjustRightInd w:val="0"/>
        <w:spacing w:after="0" w:line="240" w:lineRule="auto"/>
        <w:rPr>
          <w:rFonts w:cs="Times New Roman"/>
          <w:sz w:val="24"/>
          <w:szCs w:val="24"/>
        </w:rPr>
      </w:pPr>
    </w:p>
    <w:p w:rsidR="001F5028" w:rsidRPr="00A961CA" w:rsidRDefault="001F5028" w:rsidP="001F5028">
      <w:pPr>
        <w:autoSpaceDE w:val="0"/>
        <w:autoSpaceDN w:val="0"/>
        <w:adjustRightInd w:val="0"/>
        <w:spacing w:after="0" w:line="400" w:lineRule="atLeast"/>
        <w:rPr>
          <w:rFonts w:cs="Times New Roman"/>
          <w:sz w:val="24"/>
          <w:szCs w:val="24"/>
        </w:rPr>
      </w:pPr>
    </w:p>
    <w:p w:rsidR="007968F9" w:rsidRPr="00A961CA" w:rsidRDefault="007968F9" w:rsidP="00D154C7">
      <w:pPr>
        <w:rPr>
          <w:rFonts w:cstheme="majorBidi"/>
          <w:b/>
          <w:bCs/>
          <w:sz w:val="28"/>
          <w:szCs w:val="28"/>
        </w:rPr>
      </w:pPr>
    </w:p>
    <w:p w:rsidR="00EF7528" w:rsidRPr="00A961CA" w:rsidRDefault="001F5028" w:rsidP="00D154C7">
      <w:pPr>
        <w:rPr>
          <w:rFonts w:cstheme="majorBidi"/>
          <w:b/>
          <w:bCs/>
          <w:i/>
          <w:iCs/>
          <w:color w:val="002060"/>
          <w:sz w:val="28"/>
          <w:szCs w:val="28"/>
        </w:rPr>
      </w:pPr>
      <w:r w:rsidRPr="00A961CA">
        <w:rPr>
          <w:rFonts w:cstheme="majorBidi"/>
          <w:b/>
          <w:bCs/>
          <w:i/>
          <w:iCs/>
          <w:color w:val="002060"/>
          <w:sz w:val="28"/>
          <w:szCs w:val="28"/>
        </w:rPr>
        <w:br w:type="textWrapping" w:clear="all"/>
      </w:r>
      <w:r w:rsidR="00F4338D" w:rsidRPr="00A961CA">
        <w:rPr>
          <w:rFonts w:cstheme="majorBidi"/>
          <w:b/>
          <w:bCs/>
          <w:i/>
          <w:iCs/>
          <w:color w:val="002060"/>
          <w:sz w:val="28"/>
          <w:szCs w:val="28"/>
        </w:rPr>
        <w:t>table 1 : the frequency of age groups according to the gender in IDA Patients</w:t>
      </w:r>
    </w:p>
    <w:p w:rsidR="007E2719" w:rsidRPr="00A961CA" w:rsidRDefault="007E2719" w:rsidP="007E2719">
      <w:pPr>
        <w:autoSpaceDE w:val="0"/>
        <w:autoSpaceDN w:val="0"/>
        <w:adjustRightInd w:val="0"/>
        <w:spacing w:after="0" w:line="240" w:lineRule="auto"/>
        <w:rPr>
          <w:rFonts w:cs="Times New Roman"/>
          <w:sz w:val="24"/>
          <w:szCs w:val="24"/>
        </w:rPr>
      </w:pPr>
    </w:p>
    <w:p w:rsidR="007E2719" w:rsidRPr="00A961CA" w:rsidRDefault="007E2719" w:rsidP="007E2719">
      <w:pPr>
        <w:autoSpaceDE w:val="0"/>
        <w:autoSpaceDN w:val="0"/>
        <w:adjustRightInd w:val="0"/>
        <w:spacing w:after="0" w:line="240" w:lineRule="auto"/>
        <w:rPr>
          <w:rFonts w:cs="Times New Roman"/>
          <w:sz w:val="24"/>
          <w:szCs w:val="24"/>
        </w:rPr>
      </w:pPr>
    </w:p>
    <w:p w:rsidR="007E2719" w:rsidRPr="00A961CA" w:rsidRDefault="007E2719" w:rsidP="007E2719">
      <w:pPr>
        <w:autoSpaceDE w:val="0"/>
        <w:autoSpaceDN w:val="0"/>
        <w:adjustRightInd w:val="0"/>
        <w:spacing w:after="0" w:line="400" w:lineRule="atLeast"/>
        <w:rPr>
          <w:rFonts w:cs="Times New Roman"/>
          <w:sz w:val="24"/>
          <w:szCs w:val="24"/>
        </w:rPr>
      </w:pPr>
    </w:p>
    <w:p w:rsidR="00D943CB" w:rsidRPr="00A961CA" w:rsidRDefault="00D943CB" w:rsidP="007E2719">
      <w:pPr>
        <w:autoSpaceDE w:val="0"/>
        <w:autoSpaceDN w:val="0"/>
        <w:adjustRightInd w:val="0"/>
        <w:spacing w:after="0" w:line="240" w:lineRule="auto"/>
        <w:rPr>
          <w:rFonts w:cs="Times New Roman"/>
          <w:b/>
          <w:bCs/>
          <w:color w:val="002060"/>
          <w:sz w:val="24"/>
          <w:szCs w:val="24"/>
        </w:rPr>
      </w:pPr>
    </w:p>
    <w:p w:rsidR="00ED1E5B" w:rsidRPr="00A961CA" w:rsidRDefault="007D2427" w:rsidP="00D154C7">
      <w:pPr>
        <w:rPr>
          <w:rStyle w:val="Heading1Char"/>
          <w:rFonts w:asciiTheme="minorHAnsi" w:hAnsiTheme="minorHAnsi"/>
          <w:color w:val="000000" w:themeColor="text1"/>
        </w:rPr>
      </w:pPr>
      <w:r w:rsidRPr="00A961CA">
        <w:rPr>
          <w:rFonts w:cstheme="majorBidi"/>
          <w:b/>
          <w:bCs/>
          <w:color w:val="000000" w:themeColor="text1"/>
          <w:sz w:val="28"/>
          <w:szCs w:val="28"/>
        </w:rPr>
        <w:t xml:space="preserve">endoscopic features of celiac </w:t>
      </w:r>
      <w:r w:rsidRPr="00A961CA">
        <w:rPr>
          <w:rStyle w:val="Heading1Char"/>
          <w:rFonts w:asciiTheme="minorHAnsi" w:hAnsiTheme="minorHAnsi"/>
          <w:color w:val="000000" w:themeColor="text1"/>
        </w:rPr>
        <w:t>disease</w:t>
      </w:r>
      <w:r w:rsidR="00F05B9C">
        <w:rPr>
          <w:rStyle w:val="Heading1Char"/>
          <w:rFonts w:asciiTheme="minorHAnsi" w:hAnsiTheme="minorHAnsi"/>
          <w:color w:val="000000" w:themeColor="text1"/>
        </w:rPr>
        <w:t xml:space="preserve"> </w:t>
      </w:r>
      <w:r w:rsidRPr="00A961CA">
        <w:rPr>
          <w:rStyle w:val="Heading1Char"/>
          <w:rFonts w:asciiTheme="minorHAnsi" w:hAnsiTheme="minorHAnsi"/>
          <w:color w:val="000000" w:themeColor="text1"/>
        </w:rPr>
        <w:t>,and 197 patients (64.0)had normal duodenum.  other</w:t>
      </w:r>
      <w:r w:rsidR="00A42A03" w:rsidRPr="00A961CA">
        <w:rPr>
          <w:rStyle w:val="Heading1Char"/>
          <w:rFonts w:asciiTheme="minorHAnsi" w:hAnsiTheme="minorHAnsi"/>
          <w:color w:val="000000" w:themeColor="text1"/>
        </w:rPr>
        <w:t xml:space="preserve"> common findings on upper endoscopy included</w:t>
      </w:r>
      <w:r w:rsidR="00F05B9C">
        <w:rPr>
          <w:rStyle w:val="Heading1Char"/>
          <w:rFonts w:asciiTheme="minorHAnsi" w:hAnsiTheme="minorHAnsi"/>
          <w:color w:val="000000" w:themeColor="text1"/>
        </w:rPr>
        <w:t xml:space="preserve"> </w:t>
      </w:r>
      <w:r w:rsidR="005136C4" w:rsidRPr="00A961CA">
        <w:rPr>
          <w:rStyle w:val="Heading1Char"/>
          <w:rFonts w:asciiTheme="minorHAnsi" w:hAnsiTheme="minorHAnsi"/>
          <w:color w:val="000000" w:themeColor="text1"/>
        </w:rPr>
        <w:t>gastropathy  in 112 (37.1</w:t>
      </w:r>
      <w:r w:rsidR="00F05B9C">
        <w:rPr>
          <w:rStyle w:val="Heading1Char"/>
          <w:rFonts w:asciiTheme="minorHAnsi" w:hAnsiTheme="minorHAnsi"/>
          <w:color w:val="000000" w:themeColor="text1"/>
        </w:rPr>
        <w:t>%</w:t>
      </w:r>
      <w:r w:rsidR="005136C4" w:rsidRPr="00A961CA">
        <w:rPr>
          <w:rStyle w:val="Heading1Char"/>
          <w:rFonts w:asciiTheme="minorHAnsi" w:hAnsiTheme="minorHAnsi"/>
          <w:color w:val="000000" w:themeColor="text1"/>
        </w:rPr>
        <w:t>),duodenal ulcer in15 (4.9</w:t>
      </w:r>
      <w:r w:rsidR="00F05B9C">
        <w:rPr>
          <w:rStyle w:val="Heading1Char"/>
          <w:rFonts w:asciiTheme="minorHAnsi" w:hAnsiTheme="minorHAnsi"/>
          <w:color w:val="000000" w:themeColor="text1"/>
        </w:rPr>
        <w:t>%</w:t>
      </w:r>
      <w:r w:rsidR="005136C4" w:rsidRPr="00A961CA">
        <w:rPr>
          <w:rStyle w:val="Heading1Char"/>
          <w:rFonts w:asciiTheme="minorHAnsi" w:hAnsiTheme="minorHAnsi"/>
          <w:color w:val="000000" w:themeColor="text1"/>
        </w:rPr>
        <w:t>),hiatus hernia in 14 (4.5</w:t>
      </w:r>
      <w:r w:rsidR="00F05B9C">
        <w:rPr>
          <w:rStyle w:val="Heading1Char"/>
          <w:rFonts w:asciiTheme="minorHAnsi" w:hAnsiTheme="minorHAnsi"/>
          <w:color w:val="000000" w:themeColor="text1"/>
        </w:rPr>
        <w:t>%</w:t>
      </w:r>
      <w:r w:rsidR="005136C4" w:rsidRPr="00A961CA">
        <w:rPr>
          <w:rStyle w:val="Heading1Char"/>
          <w:rFonts w:asciiTheme="minorHAnsi" w:hAnsiTheme="minorHAnsi"/>
          <w:color w:val="000000" w:themeColor="text1"/>
        </w:rPr>
        <w:t>) ,gastric erosions in 11 (3.6</w:t>
      </w:r>
      <w:r w:rsidR="00F05B9C">
        <w:rPr>
          <w:rStyle w:val="Heading1Char"/>
          <w:rFonts w:asciiTheme="minorHAnsi" w:hAnsiTheme="minorHAnsi"/>
          <w:color w:val="000000" w:themeColor="text1"/>
        </w:rPr>
        <w:t>%</w:t>
      </w:r>
      <w:r w:rsidR="005136C4" w:rsidRPr="00A961CA">
        <w:rPr>
          <w:rStyle w:val="Heading1Char"/>
          <w:rFonts w:asciiTheme="minorHAnsi" w:hAnsiTheme="minorHAnsi"/>
          <w:color w:val="000000" w:themeColor="text1"/>
        </w:rPr>
        <w:t>),GERD in 7</w:t>
      </w:r>
      <w:r w:rsidR="00F36C12" w:rsidRPr="00A961CA">
        <w:rPr>
          <w:rStyle w:val="Heading1Char"/>
          <w:rFonts w:asciiTheme="minorHAnsi" w:hAnsiTheme="minorHAnsi"/>
          <w:color w:val="000000" w:themeColor="text1"/>
        </w:rPr>
        <w:t xml:space="preserve"> (2.3</w:t>
      </w:r>
      <w:r w:rsidR="00F05B9C">
        <w:rPr>
          <w:rStyle w:val="Heading1Char"/>
          <w:rFonts w:asciiTheme="minorHAnsi" w:hAnsiTheme="minorHAnsi"/>
          <w:color w:val="000000" w:themeColor="text1"/>
        </w:rPr>
        <w:t>%</w:t>
      </w:r>
      <w:r w:rsidR="00F36C12" w:rsidRPr="00A961CA">
        <w:rPr>
          <w:rStyle w:val="Heading1Char"/>
          <w:rFonts w:asciiTheme="minorHAnsi" w:hAnsiTheme="minorHAnsi"/>
          <w:color w:val="000000" w:themeColor="text1"/>
        </w:rPr>
        <w:t>) ,gastric polyps in 5 (1.6</w:t>
      </w:r>
      <w:r w:rsidR="00F05B9C">
        <w:rPr>
          <w:rStyle w:val="Heading1Char"/>
          <w:rFonts w:asciiTheme="minorHAnsi" w:hAnsiTheme="minorHAnsi"/>
          <w:color w:val="000000" w:themeColor="text1"/>
        </w:rPr>
        <w:t>%</w:t>
      </w:r>
      <w:r w:rsidR="00F36C12" w:rsidRPr="00A961CA">
        <w:rPr>
          <w:rStyle w:val="Heading1Char"/>
          <w:rFonts w:asciiTheme="minorHAnsi" w:hAnsiTheme="minorHAnsi"/>
          <w:color w:val="000000" w:themeColor="text1"/>
        </w:rPr>
        <w:t>) ,esophageal web in 5 (2.3</w:t>
      </w:r>
      <w:r w:rsidR="00F05B9C">
        <w:rPr>
          <w:rStyle w:val="Heading1Char"/>
          <w:rFonts w:asciiTheme="minorHAnsi" w:hAnsiTheme="minorHAnsi"/>
          <w:color w:val="000000" w:themeColor="text1"/>
        </w:rPr>
        <w:t>%</w:t>
      </w:r>
      <w:r w:rsidR="00F36C12" w:rsidRPr="00A961CA">
        <w:rPr>
          <w:rStyle w:val="Heading1Char"/>
          <w:rFonts w:asciiTheme="minorHAnsi" w:hAnsiTheme="minorHAnsi"/>
          <w:color w:val="000000" w:themeColor="text1"/>
        </w:rPr>
        <w:t>) ,gastric ulcer in 4 (1.3</w:t>
      </w:r>
      <w:r w:rsidR="00F05B9C">
        <w:rPr>
          <w:rStyle w:val="Heading1Char"/>
          <w:rFonts w:asciiTheme="minorHAnsi" w:hAnsiTheme="minorHAnsi"/>
          <w:color w:val="000000" w:themeColor="text1"/>
        </w:rPr>
        <w:t>%</w:t>
      </w:r>
      <w:r w:rsidR="00F36C12" w:rsidRPr="00A961CA">
        <w:rPr>
          <w:rStyle w:val="Heading1Char"/>
          <w:rFonts w:asciiTheme="minorHAnsi" w:hAnsiTheme="minorHAnsi"/>
          <w:color w:val="000000" w:themeColor="text1"/>
        </w:rPr>
        <w:t>) ,gastric tumor in 3 (1.0</w:t>
      </w:r>
      <w:r w:rsidR="00F05B9C">
        <w:rPr>
          <w:rStyle w:val="Heading1Char"/>
          <w:rFonts w:asciiTheme="minorHAnsi" w:hAnsiTheme="minorHAnsi"/>
          <w:color w:val="000000" w:themeColor="text1"/>
        </w:rPr>
        <w:t>%</w:t>
      </w:r>
      <w:r w:rsidR="00F36C12" w:rsidRPr="00A961CA">
        <w:rPr>
          <w:rStyle w:val="Heading1Char"/>
          <w:rFonts w:asciiTheme="minorHAnsi" w:hAnsiTheme="minorHAnsi"/>
          <w:color w:val="000000" w:themeColor="text1"/>
        </w:rPr>
        <w:t>) ,bulb erosions in 3 (1.0</w:t>
      </w:r>
      <w:r w:rsidR="00F05B9C">
        <w:rPr>
          <w:rStyle w:val="Heading1Char"/>
          <w:rFonts w:asciiTheme="minorHAnsi" w:hAnsiTheme="minorHAnsi"/>
          <w:color w:val="000000" w:themeColor="text1"/>
        </w:rPr>
        <w:t>%</w:t>
      </w:r>
      <w:r w:rsidR="00F36C12" w:rsidRPr="00A961CA">
        <w:rPr>
          <w:rStyle w:val="Heading1Char"/>
          <w:rFonts w:asciiTheme="minorHAnsi" w:hAnsiTheme="minorHAnsi"/>
          <w:color w:val="000000" w:themeColor="text1"/>
        </w:rPr>
        <w:t xml:space="preserve">) </w:t>
      </w:r>
      <w:r w:rsidR="002F7E74" w:rsidRPr="00A961CA">
        <w:rPr>
          <w:rStyle w:val="Heading1Char"/>
          <w:rFonts w:asciiTheme="minorHAnsi" w:hAnsiTheme="minorHAnsi"/>
          <w:color w:val="000000" w:themeColor="text1"/>
        </w:rPr>
        <w:t>,diverticulae in 2 (0.6</w:t>
      </w:r>
      <w:r w:rsidR="00F05B9C">
        <w:rPr>
          <w:rStyle w:val="Heading1Char"/>
          <w:rFonts w:asciiTheme="minorHAnsi" w:hAnsiTheme="minorHAnsi"/>
          <w:color w:val="000000" w:themeColor="text1"/>
        </w:rPr>
        <w:t>%</w:t>
      </w:r>
      <w:r w:rsidR="002F7E74" w:rsidRPr="00A961CA">
        <w:rPr>
          <w:rStyle w:val="Heading1Char"/>
          <w:rFonts w:asciiTheme="minorHAnsi" w:hAnsiTheme="minorHAnsi"/>
          <w:color w:val="000000" w:themeColor="text1"/>
        </w:rPr>
        <w:t>)patients</w:t>
      </w:r>
      <w:r w:rsidR="00F05B9C">
        <w:rPr>
          <w:rStyle w:val="Heading1Char"/>
          <w:rFonts w:asciiTheme="minorHAnsi" w:hAnsiTheme="minorHAnsi"/>
          <w:color w:val="000000" w:themeColor="text1"/>
        </w:rPr>
        <w:t xml:space="preserve"> </w:t>
      </w:r>
      <w:r w:rsidR="001512A1" w:rsidRPr="00A961CA">
        <w:rPr>
          <w:rStyle w:val="Heading1Char"/>
          <w:rFonts w:asciiTheme="minorHAnsi" w:hAnsiTheme="minorHAnsi"/>
          <w:color w:val="000000" w:themeColor="text1"/>
        </w:rPr>
        <w:t>,Brunner gland hyperplasia in2 (0.6</w:t>
      </w:r>
      <w:r w:rsidR="00F05B9C">
        <w:rPr>
          <w:rStyle w:val="Heading1Char"/>
          <w:rFonts w:asciiTheme="minorHAnsi" w:hAnsiTheme="minorHAnsi"/>
          <w:color w:val="000000" w:themeColor="text1"/>
        </w:rPr>
        <w:t>%</w:t>
      </w:r>
      <w:r w:rsidR="001512A1" w:rsidRPr="00A961CA">
        <w:rPr>
          <w:rStyle w:val="Heading1Char"/>
          <w:rFonts w:asciiTheme="minorHAnsi" w:hAnsiTheme="minorHAnsi"/>
          <w:color w:val="000000" w:themeColor="text1"/>
        </w:rPr>
        <w:t>) esophageal candidiasis ,thick gastric mucosa and gastric mucosal atrophy also in 2 patients for each of them</w:t>
      </w:r>
      <w:r w:rsidR="00A42A03" w:rsidRPr="00A961CA">
        <w:rPr>
          <w:rStyle w:val="Heading1Char"/>
          <w:rFonts w:asciiTheme="minorHAnsi" w:hAnsiTheme="minorHAnsi"/>
          <w:color w:val="000000" w:themeColor="text1"/>
        </w:rPr>
        <w:t xml:space="preserve">. </w:t>
      </w:r>
      <w:r w:rsidR="001512A1" w:rsidRPr="00A961CA">
        <w:rPr>
          <w:rStyle w:val="Heading1Char"/>
          <w:rFonts w:asciiTheme="minorHAnsi" w:hAnsiTheme="minorHAnsi"/>
          <w:color w:val="000000" w:themeColor="text1"/>
        </w:rPr>
        <w:t xml:space="preserve">gastric &amp;duodenal ulcer in one patient </w:t>
      </w:r>
      <w:r w:rsidR="0062752D" w:rsidRPr="00A961CA">
        <w:rPr>
          <w:rStyle w:val="Heading1Char"/>
          <w:rFonts w:asciiTheme="minorHAnsi" w:hAnsiTheme="minorHAnsi"/>
          <w:color w:val="000000" w:themeColor="text1"/>
        </w:rPr>
        <w:t xml:space="preserve">0.3 %, </w:t>
      </w:r>
      <w:r w:rsidR="0062752D" w:rsidRPr="00A961CA">
        <w:rPr>
          <w:rStyle w:val="Heading1Char"/>
          <w:rFonts w:asciiTheme="minorHAnsi" w:hAnsiTheme="minorHAnsi"/>
          <w:color w:val="000000" w:themeColor="text1"/>
        </w:rPr>
        <w:lastRenderedPageBreak/>
        <w:t>and esophageal  varices ,GEJ lesion ,bulb duodenitis in one  patient for each of them</w:t>
      </w:r>
    </w:p>
    <w:p w:rsidR="00ED1E5B" w:rsidRDefault="00ED1E5B" w:rsidP="00ED1E5B">
      <w:pPr>
        <w:autoSpaceDE w:val="0"/>
        <w:autoSpaceDN w:val="0"/>
        <w:adjustRightInd w:val="0"/>
        <w:spacing w:after="0" w:line="240" w:lineRule="auto"/>
        <w:rPr>
          <w:rFonts w:cs="Times New Roman"/>
          <w:sz w:val="24"/>
          <w:szCs w:val="24"/>
        </w:rPr>
      </w:pPr>
    </w:p>
    <w:p w:rsidR="00522856" w:rsidRDefault="00522856" w:rsidP="00ED1E5B">
      <w:pPr>
        <w:autoSpaceDE w:val="0"/>
        <w:autoSpaceDN w:val="0"/>
        <w:adjustRightInd w:val="0"/>
        <w:spacing w:after="0" w:line="240" w:lineRule="auto"/>
        <w:rPr>
          <w:rFonts w:cs="Times New Roman"/>
          <w:sz w:val="24"/>
          <w:szCs w:val="24"/>
        </w:rPr>
      </w:pPr>
    </w:p>
    <w:p w:rsidR="00522856" w:rsidRPr="00A961CA" w:rsidRDefault="00522856" w:rsidP="00ED1E5B">
      <w:pPr>
        <w:autoSpaceDE w:val="0"/>
        <w:autoSpaceDN w:val="0"/>
        <w:adjustRightInd w:val="0"/>
        <w:spacing w:after="0" w:line="240" w:lineRule="auto"/>
        <w:rPr>
          <w:rFonts w:cs="Times New Roman"/>
          <w:sz w:val="24"/>
          <w:szCs w:val="24"/>
        </w:rPr>
      </w:pPr>
    </w:p>
    <w:tbl>
      <w:tblPr>
        <w:tblW w:w="8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2488"/>
        <w:gridCol w:w="1169"/>
        <w:gridCol w:w="1014"/>
        <w:gridCol w:w="1399"/>
        <w:gridCol w:w="1476"/>
      </w:tblGrid>
      <w:tr w:rsidR="00ED1E5B" w:rsidRPr="00A961CA" w:rsidTr="004D2DFB">
        <w:trPr>
          <w:cantSplit/>
        </w:trPr>
        <w:tc>
          <w:tcPr>
            <w:tcW w:w="8255" w:type="dxa"/>
            <w:gridSpan w:val="6"/>
            <w:tcBorders>
              <w:top w:val="nil"/>
              <w:left w:val="nil"/>
              <w:bottom w:val="nil"/>
              <w:right w:val="nil"/>
            </w:tcBorders>
            <w:shd w:val="clear" w:color="auto" w:fill="FFFFFF"/>
            <w:vAlign w:val="center"/>
          </w:tcPr>
          <w:p w:rsidR="00522856" w:rsidRDefault="00522856" w:rsidP="00ED1E5B">
            <w:pPr>
              <w:autoSpaceDE w:val="0"/>
              <w:autoSpaceDN w:val="0"/>
              <w:adjustRightInd w:val="0"/>
              <w:spacing w:after="0" w:line="320" w:lineRule="atLeast"/>
              <w:ind w:left="60" w:right="60"/>
              <w:jc w:val="center"/>
              <w:rPr>
                <w:rFonts w:cs="Arial"/>
                <w:b/>
                <w:bCs/>
                <w:color w:val="000000"/>
                <w:sz w:val="18"/>
                <w:szCs w:val="18"/>
              </w:rPr>
            </w:pPr>
          </w:p>
          <w:p w:rsidR="00522856" w:rsidRDefault="00522856" w:rsidP="00ED1E5B">
            <w:pPr>
              <w:autoSpaceDE w:val="0"/>
              <w:autoSpaceDN w:val="0"/>
              <w:adjustRightInd w:val="0"/>
              <w:spacing w:after="0" w:line="320" w:lineRule="atLeast"/>
              <w:ind w:left="60" w:right="60"/>
              <w:jc w:val="center"/>
              <w:rPr>
                <w:rFonts w:cs="Arial"/>
                <w:b/>
                <w:bCs/>
                <w:color w:val="000000"/>
                <w:sz w:val="18"/>
                <w:szCs w:val="18"/>
              </w:rPr>
            </w:pPr>
          </w:p>
          <w:p w:rsidR="00ED1E5B" w:rsidRPr="00A961CA" w:rsidRDefault="00ED1E5B" w:rsidP="00ED1E5B">
            <w:pPr>
              <w:autoSpaceDE w:val="0"/>
              <w:autoSpaceDN w:val="0"/>
              <w:adjustRightInd w:val="0"/>
              <w:spacing w:after="0" w:line="320" w:lineRule="atLeast"/>
              <w:ind w:left="60" w:right="60"/>
              <w:jc w:val="center"/>
              <w:rPr>
                <w:rFonts w:cs="Arial"/>
                <w:color w:val="000000"/>
                <w:sz w:val="18"/>
                <w:szCs w:val="18"/>
              </w:rPr>
            </w:pPr>
            <w:r w:rsidRPr="00A961CA">
              <w:rPr>
                <w:rFonts w:cs="Arial"/>
                <w:b/>
                <w:bCs/>
                <w:color w:val="000000"/>
                <w:sz w:val="18"/>
                <w:szCs w:val="18"/>
              </w:rPr>
              <w:t>endoscopy</w:t>
            </w:r>
          </w:p>
        </w:tc>
      </w:tr>
      <w:tr w:rsidR="00ED1E5B" w:rsidRPr="00A961CA" w:rsidTr="004D2DF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D1E5B" w:rsidRPr="00A961CA" w:rsidRDefault="007968F9" w:rsidP="00ED1E5B">
            <w:pPr>
              <w:autoSpaceDE w:val="0"/>
              <w:autoSpaceDN w:val="0"/>
              <w:adjustRightInd w:val="0"/>
              <w:spacing w:after="0" w:line="240" w:lineRule="auto"/>
              <w:rPr>
                <w:rFonts w:cs="Times New Roman"/>
                <w:b/>
                <w:bCs/>
                <w:color w:val="C00000"/>
                <w:sz w:val="24"/>
                <w:szCs w:val="24"/>
              </w:rPr>
            </w:pPr>
            <w:r w:rsidRPr="00A961CA">
              <w:rPr>
                <w:rFonts w:cs="Times New Roman"/>
                <w:b/>
                <w:bCs/>
                <w:color w:val="C00000"/>
                <w:sz w:val="24"/>
                <w:szCs w:val="24"/>
              </w:rPr>
              <w:t xml:space="preserve">          Findings</w:t>
            </w:r>
          </w:p>
        </w:tc>
        <w:tc>
          <w:tcPr>
            <w:tcW w:w="1169" w:type="dxa"/>
            <w:tcBorders>
              <w:top w:val="single" w:sz="16" w:space="0" w:color="000000"/>
              <w:left w:val="single" w:sz="16" w:space="0" w:color="000000"/>
              <w:bottom w:val="single" w:sz="16" w:space="0" w:color="000000"/>
            </w:tcBorders>
            <w:shd w:val="clear" w:color="auto" w:fill="FFFFFF"/>
            <w:vAlign w:val="bottom"/>
          </w:tcPr>
          <w:p w:rsidR="00ED1E5B" w:rsidRPr="00A961CA" w:rsidRDefault="00ED1E5B" w:rsidP="00ED1E5B">
            <w:pPr>
              <w:autoSpaceDE w:val="0"/>
              <w:autoSpaceDN w:val="0"/>
              <w:adjustRightInd w:val="0"/>
              <w:spacing w:after="0" w:line="320" w:lineRule="atLeast"/>
              <w:ind w:left="60" w:right="60"/>
              <w:jc w:val="center"/>
              <w:rPr>
                <w:rFonts w:cstheme="majorBidi"/>
                <w:b/>
                <w:bCs/>
                <w:color w:val="000000"/>
                <w:sz w:val="24"/>
                <w:szCs w:val="24"/>
              </w:rPr>
            </w:pPr>
            <w:r w:rsidRPr="00A961CA">
              <w:rPr>
                <w:rFonts w:cstheme="majorBidi"/>
                <w:b/>
                <w:bCs/>
                <w:color w:val="000000"/>
                <w:sz w:val="24"/>
                <w:szCs w:val="24"/>
              </w:rPr>
              <w:t>Frequency</w:t>
            </w:r>
          </w:p>
        </w:tc>
        <w:tc>
          <w:tcPr>
            <w:tcW w:w="1014" w:type="dxa"/>
            <w:tcBorders>
              <w:top w:val="single" w:sz="16" w:space="0" w:color="000000"/>
              <w:bottom w:val="single" w:sz="16" w:space="0" w:color="000000"/>
            </w:tcBorders>
            <w:shd w:val="clear" w:color="auto" w:fill="FFFFFF"/>
            <w:vAlign w:val="bottom"/>
          </w:tcPr>
          <w:p w:rsidR="00ED1E5B" w:rsidRPr="00A961CA" w:rsidRDefault="00ED1E5B" w:rsidP="00ED1E5B">
            <w:pPr>
              <w:autoSpaceDE w:val="0"/>
              <w:autoSpaceDN w:val="0"/>
              <w:adjustRightInd w:val="0"/>
              <w:spacing w:after="0" w:line="320" w:lineRule="atLeast"/>
              <w:ind w:left="60" w:right="60"/>
              <w:jc w:val="center"/>
              <w:rPr>
                <w:rFonts w:cstheme="majorBidi"/>
                <w:b/>
                <w:bCs/>
                <w:color w:val="000000"/>
                <w:sz w:val="24"/>
                <w:szCs w:val="24"/>
              </w:rPr>
            </w:pPr>
            <w:r w:rsidRPr="00A961CA">
              <w:rPr>
                <w:rFonts w:cstheme="majorBidi"/>
                <w:b/>
                <w:bCs/>
                <w:color w:val="000000"/>
                <w:sz w:val="24"/>
                <w:szCs w:val="24"/>
              </w:rPr>
              <w:t>Percent</w:t>
            </w:r>
          </w:p>
        </w:tc>
        <w:tc>
          <w:tcPr>
            <w:tcW w:w="1399" w:type="dxa"/>
            <w:tcBorders>
              <w:top w:val="single" w:sz="16" w:space="0" w:color="000000"/>
              <w:bottom w:val="single" w:sz="16" w:space="0" w:color="000000"/>
            </w:tcBorders>
            <w:shd w:val="clear" w:color="auto" w:fill="FFFFFF"/>
            <w:vAlign w:val="bottom"/>
          </w:tcPr>
          <w:p w:rsidR="00ED1E5B" w:rsidRPr="00A961CA" w:rsidRDefault="00ED1E5B" w:rsidP="00ED1E5B">
            <w:pPr>
              <w:autoSpaceDE w:val="0"/>
              <w:autoSpaceDN w:val="0"/>
              <w:adjustRightInd w:val="0"/>
              <w:spacing w:after="0" w:line="320" w:lineRule="atLeast"/>
              <w:ind w:left="60" w:right="60"/>
              <w:jc w:val="center"/>
              <w:rPr>
                <w:rFonts w:cstheme="majorBidi"/>
                <w:b/>
                <w:bCs/>
                <w:color w:val="000000"/>
                <w:sz w:val="24"/>
                <w:szCs w:val="24"/>
              </w:rPr>
            </w:pPr>
            <w:r w:rsidRPr="00A961CA">
              <w:rPr>
                <w:rFonts w:cstheme="majorBidi"/>
                <w:b/>
                <w:bCs/>
                <w:color w:val="000000"/>
                <w:sz w:val="24"/>
                <w:szCs w:val="24"/>
              </w:rPr>
              <w:t>male</w:t>
            </w:r>
          </w:p>
        </w:tc>
        <w:tc>
          <w:tcPr>
            <w:tcW w:w="1476" w:type="dxa"/>
            <w:tcBorders>
              <w:top w:val="single" w:sz="16" w:space="0" w:color="000000"/>
              <w:bottom w:val="single" w:sz="16" w:space="0" w:color="000000"/>
              <w:right w:val="single" w:sz="16" w:space="0" w:color="000000"/>
            </w:tcBorders>
            <w:shd w:val="clear" w:color="auto" w:fill="FFFFFF"/>
            <w:vAlign w:val="bottom"/>
          </w:tcPr>
          <w:p w:rsidR="00ED1E5B" w:rsidRPr="00A961CA" w:rsidRDefault="00ED1E5B" w:rsidP="00ED1E5B">
            <w:pPr>
              <w:autoSpaceDE w:val="0"/>
              <w:autoSpaceDN w:val="0"/>
              <w:adjustRightInd w:val="0"/>
              <w:spacing w:after="0" w:line="320" w:lineRule="atLeast"/>
              <w:ind w:left="60" w:right="60"/>
              <w:jc w:val="center"/>
              <w:rPr>
                <w:rFonts w:cstheme="majorBidi"/>
                <w:b/>
                <w:bCs/>
                <w:color w:val="000000"/>
                <w:sz w:val="24"/>
                <w:szCs w:val="24"/>
              </w:rPr>
            </w:pPr>
            <w:r w:rsidRPr="00A961CA">
              <w:rPr>
                <w:rFonts w:cstheme="majorBidi"/>
                <w:b/>
                <w:bCs/>
                <w:color w:val="000000"/>
                <w:sz w:val="24"/>
                <w:szCs w:val="24"/>
              </w:rPr>
              <w:t>female</w:t>
            </w:r>
          </w:p>
        </w:tc>
      </w:tr>
      <w:tr w:rsidR="00ED1E5B" w:rsidRPr="00A961CA" w:rsidTr="004D2DFB">
        <w:trPr>
          <w:cantSplit/>
        </w:trPr>
        <w:tc>
          <w:tcPr>
            <w:tcW w:w="709" w:type="dxa"/>
            <w:vMerge w:val="restart"/>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p>
        </w:tc>
        <w:tc>
          <w:tcPr>
            <w:tcW w:w="2488" w:type="dxa"/>
            <w:tcBorders>
              <w:top w:val="single" w:sz="16" w:space="0" w:color="000000"/>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normal</w:t>
            </w:r>
          </w:p>
        </w:tc>
        <w:tc>
          <w:tcPr>
            <w:tcW w:w="1169" w:type="dxa"/>
            <w:tcBorders>
              <w:top w:val="single" w:sz="16" w:space="0" w:color="000000"/>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115</w:t>
            </w:r>
          </w:p>
        </w:tc>
        <w:tc>
          <w:tcPr>
            <w:tcW w:w="1014" w:type="dxa"/>
            <w:tcBorders>
              <w:top w:val="single" w:sz="16" w:space="0" w:color="000000"/>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37.3</w:t>
            </w:r>
          </w:p>
        </w:tc>
        <w:tc>
          <w:tcPr>
            <w:tcW w:w="1399" w:type="dxa"/>
            <w:tcBorders>
              <w:top w:val="single" w:sz="16" w:space="0" w:color="000000"/>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22</w:t>
            </w:r>
          </w:p>
        </w:tc>
        <w:tc>
          <w:tcPr>
            <w:tcW w:w="1476" w:type="dxa"/>
            <w:tcBorders>
              <w:top w:val="single" w:sz="16" w:space="0" w:color="000000"/>
              <w:bottom w:val="nil"/>
              <w:right w:val="single" w:sz="16" w:space="0" w:color="000000"/>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93</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gastropathy</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112</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36.4</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34</w:t>
            </w:r>
          </w:p>
        </w:tc>
        <w:tc>
          <w:tcPr>
            <w:tcW w:w="1476" w:type="dxa"/>
            <w:tcBorders>
              <w:top w:val="nil"/>
              <w:bottom w:val="nil"/>
              <w:right w:val="single" w:sz="16" w:space="0" w:color="000000"/>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78</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gerd</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7</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2.3</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3</w:t>
            </w:r>
          </w:p>
        </w:tc>
        <w:tc>
          <w:tcPr>
            <w:tcW w:w="1476" w:type="dxa"/>
            <w:tcBorders>
              <w:top w:val="nil"/>
              <w:bottom w:val="nil"/>
              <w:right w:val="single" w:sz="16" w:space="0" w:color="000000"/>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4</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haitus hernia</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14</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4.5</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12</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duodenal ulcer</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15</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4.9</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4</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11</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gastric ulcer</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4</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1.3</w:t>
            </w:r>
          </w:p>
        </w:tc>
        <w:tc>
          <w:tcPr>
            <w:tcW w:w="1399" w:type="dxa"/>
            <w:tcBorders>
              <w:top w:val="nil"/>
              <w:bottom w:val="nil"/>
            </w:tcBorders>
            <w:shd w:val="clear" w:color="auto" w:fill="FFFFFF"/>
            <w:vAlign w:val="center"/>
          </w:tcPr>
          <w:p w:rsidR="00ED1E5B" w:rsidRPr="00A961CA" w:rsidRDefault="007C75F3" w:rsidP="007C75F3">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0</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4</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gastric erosion</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11</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3.6</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5</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6</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gastric &amp;duod.ulcers</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.3</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0</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brunner gland hypertrophy</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.6</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esophageal web</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5</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1.6</w:t>
            </w:r>
          </w:p>
        </w:tc>
        <w:tc>
          <w:tcPr>
            <w:tcW w:w="1399" w:type="dxa"/>
            <w:tcBorders>
              <w:top w:val="nil"/>
              <w:bottom w:val="nil"/>
            </w:tcBorders>
            <w:shd w:val="clear" w:color="auto" w:fill="FFFFFF"/>
            <w:vAlign w:val="center"/>
          </w:tcPr>
          <w:p w:rsidR="00ED1E5B" w:rsidRPr="00A961CA" w:rsidRDefault="007C75F3" w:rsidP="007C75F3">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4</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gastric polyp</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5</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1.6</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3</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diverticulum</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.6</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0</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bulb erosions</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3</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1.0</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gastric tumor</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3</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1.0</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esophageal varices</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.3</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0</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thick gastric mucosa</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.6</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0</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GEJ lesion</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.3</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0</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bulb duodenitis</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.3</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0</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esophageal candidiasis</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.6</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c>
          <w:tcPr>
            <w:tcW w:w="1476" w:type="dxa"/>
            <w:tcBorders>
              <w:top w:val="nil"/>
              <w:bottom w:val="nil"/>
              <w:right w:val="single" w:sz="16" w:space="0" w:color="000000"/>
            </w:tcBorders>
            <w:shd w:val="clear" w:color="auto" w:fill="FFFFFF"/>
            <w:vAlign w:val="center"/>
          </w:tcPr>
          <w:p w:rsidR="00ED1E5B" w:rsidRPr="00A961CA" w:rsidRDefault="004D2DF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1</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nil"/>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gastric mucosal atrophy</w:t>
            </w:r>
          </w:p>
        </w:tc>
        <w:tc>
          <w:tcPr>
            <w:tcW w:w="1169" w:type="dxa"/>
            <w:tcBorders>
              <w:top w:val="nil"/>
              <w:left w:val="single" w:sz="16" w:space="0" w:color="000000"/>
              <w:bottom w:val="nil"/>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w:t>
            </w:r>
          </w:p>
        </w:tc>
        <w:tc>
          <w:tcPr>
            <w:tcW w:w="1014" w:type="dxa"/>
            <w:tcBorders>
              <w:top w:val="nil"/>
              <w:bottom w:val="nil"/>
            </w:tcBorders>
            <w:shd w:val="clear" w:color="auto" w:fill="FFFFFF"/>
            <w:vAlign w:val="center"/>
          </w:tcPr>
          <w:p w:rsidR="00ED1E5B" w:rsidRPr="00A961CA" w:rsidRDefault="00ED1E5B"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.6</w:t>
            </w:r>
          </w:p>
        </w:tc>
        <w:tc>
          <w:tcPr>
            <w:tcW w:w="1399" w:type="dxa"/>
            <w:tcBorders>
              <w:top w:val="nil"/>
              <w:bottom w:val="nil"/>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0</w:t>
            </w:r>
          </w:p>
        </w:tc>
        <w:tc>
          <w:tcPr>
            <w:tcW w:w="1476" w:type="dxa"/>
            <w:tcBorders>
              <w:top w:val="nil"/>
              <w:bottom w:val="nil"/>
              <w:right w:val="single" w:sz="16" w:space="0" w:color="000000"/>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2</w:t>
            </w:r>
          </w:p>
        </w:tc>
      </w:tr>
      <w:tr w:rsidR="00ED1E5B" w:rsidRPr="00A961CA" w:rsidTr="004D2DFB">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ED1E5B" w:rsidRPr="00A961CA" w:rsidRDefault="00ED1E5B" w:rsidP="00ED1E5B">
            <w:pPr>
              <w:autoSpaceDE w:val="0"/>
              <w:autoSpaceDN w:val="0"/>
              <w:adjustRightInd w:val="0"/>
              <w:spacing w:after="0" w:line="240" w:lineRule="auto"/>
              <w:rPr>
                <w:b/>
                <w:bCs/>
                <w:color w:val="000000"/>
                <w:sz w:val="18"/>
                <w:szCs w:val="18"/>
              </w:rPr>
            </w:pPr>
          </w:p>
        </w:tc>
        <w:tc>
          <w:tcPr>
            <w:tcW w:w="2488" w:type="dxa"/>
            <w:tcBorders>
              <w:top w:val="nil"/>
              <w:left w:val="nil"/>
              <w:bottom w:val="single" w:sz="16" w:space="0" w:color="000000"/>
              <w:right w:val="single" w:sz="16" w:space="0" w:color="000000"/>
            </w:tcBorders>
            <w:shd w:val="clear" w:color="auto" w:fill="FFFFFF"/>
          </w:tcPr>
          <w:p w:rsidR="00ED1E5B" w:rsidRPr="00A961CA" w:rsidRDefault="00ED1E5B" w:rsidP="00ED1E5B">
            <w:pPr>
              <w:autoSpaceDE w:val="0"/>
              <w:autoSpaceDN w:val="0"/>
              <w:adjustRightInd w:val="0"/>
              <w:spacing w:after="0" w:line="320" w:lineRule="atLeast"/>
              <w:ind w:left="60" w:right="60"/>
              <w:rPr>
                <w:b/>
                <w:bCs/>
                <w:color w:val="000000"/>
                <w:sz w:val="18"/>
                <w:szCs w:val="18"/>
              </w:rPr>
            </w:pPr>
            <w:r w:rsidRPr="00A961CA">
              <w:rPr>
                <w:b/>
                <w:bCs/>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rsidR="00ED1E5B" w:rsidRPr="00A961CA" w:rsidRDefault="00ED1E5B" w:rsidP="004D2DFB">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308</w:t>
            </w:r>
          </w:p>
        </w:tc>
        <w:tc>
          <w:tcPr>
            <w:tcW w:w="1014" w:type="dxa"/>
            <w:tcBorders>
              <w:top w:val="nil"/>
              <w:bottom w:val="single" w:sz="16" w:space="0" w:color="000000"/>
            </w:tcBorders>
            <w:shd w:val="clear" w:color="auto" w:fill="FFFFFF"/>
            <w:vAlign w:val="center"/>
          </w:tcPr>
          <w:p w:rsidR="00ED1E5B" w:rsidRPr="00A961CA" w:rsidRDefault="00ED1E5B" w:rsidP="00ED1E5B">
            <w:pPr>
              <w:autoSpaceDE w:val="0"/>
              <w:autoSpaceDN w:val="0"/>
              <w:adjustRightInd w:val="0"/>
              <w:spacing w:after="0" w:line="320" w:lineRule="atLeast"/>
              <w:ind w:left="60" w:right="60"/>
              <w:jc w:val="right"/>
              <w:rPr>
                <w:b/>
                <w:bCs/>
                <w:color w:val="000000"/>
                <w:sz w:val="18"/>
                <w:szCs w:val="18"/>
              </w:rPr>
            </w:pPr>
            <w:r w:rsidRPr="00A961CA">
              <w:rPr>
                <w:b/>
                <w:bCs/>
                <w:color w:val="000000"/>
                <w:sz w:val="18"/>
                <w:szCs w:val="18"/>
              </w:rPr>
              <w:t>100.0</w:t>
            </w:r>
          </w:p>
        </w:tc>
        <w:tc>
          <w:tcPr>
            <w:tcW w:w="1399" w:type="dxa"/>
            <w:tcBorders>
              <w:top w:val="nil"/>
              <w:bottom w:val="single" w:sz="16" w:space="0" w:color="000000"/>
            </w:tcBorders>
            <w:shd w:val="clear" w:color="auto" w:fill="FFFFFF"/>
            <w:vAlign w:val="center"/>
          </w:tcPr>
          <w:p w:rsidR="00ED1E5B" w:rsidRPr="00A961CA" w:rsidRDefault="007C75F3" w:rsidP="007968F9">
            <w:pPr>
              <w:autoSpaceDE w:val="0"/>
              <w:autoSpaceDN w:val="0"/>
              <w:adjustRightInd w:val="0"/>
              <w:spacing w:after="0" w:line="320" w:lineRule="atLeast"/>
              <w:ind w:left="60" w:right="60"/>
              <w:jc w:val="center"/>
              <w:rPr>
                <w:b/>
                <w:bCs/>
                <w:color w:val="000000"/>
                <w:sz w:val="18"/>
                <w:szCs w:val="18"/>
              </w:rPr>
            </w:pPr>
            <w:r w:rsidRPr="00A961CA">
              <w:rPr>
                <w:b/>
                <w:bCs/>
                <w:color w:val="000000"/>
                <w:sz w:val="18"/>
                <w:szCs w:val="18"/>
              </w:rPr>
              <w:t>82</w:t>
            </w:r>
          </w:p>
        </w:tc>
        <w:tc>
          <w:tcPr>
            <w:tcW w:w="1476" w:type="dxa"/>
            <w:tcBorders>
              <w:top w:val="nil"/>
              <w:bottom w:val="single" w:sz="16" w:space="0" w:color="000000"/>
              <w:right w:val="single" w:sz="16" w:space="0" w:color="000000"/>
            </w:tcBorders>
            <w:shd w:val="clear" w:color="auto" w:fill="FFFFFF"/>
            <w:vAlign w:val="center"/>
          </w:tcPr>
          <w:p w:rsidR="00ED1E5B" w:rsidRPr="00A961CA" w:rsidRDefault="007C75F3" w:rsidP="00ED1E5B">
            <w:pPr>
              <w:autoSpaceDE w:val="0"/>
              <w:autoSpaceDN w:val="0"/>
              <w:adjustRightInd w:val="0"/>
              <w:spacing w:after="0" w:line="240" w:lineRule="auto"/>
              <w:rPr>
                <w:b/>
                <w:bCs/>
                <w:sz w:val="24"/>
                <w:szCs w:val="24"/>
              </w:rPr>
            </w:pPr>
            <w:r w:rsidRPr="00A961CA">
              <w:rPr>
                <w:b/>
                <w:bCs/>
                <w:sz w:val="24"/>
                <w:szCs w:val="24"/>
              </w:rPr>
              <w:t>226</w:t>
            </w:r>
          </w:p>
        </w:tc>
      </w:tr>
    </w:tbl>
    <w:p w:rsidR="00ED1E5B" w:rsidRPr="00A961CA" w:rsidRDefault="00F4338D" w:rsidP="00F4338D">
      <w:pPr>
        <w:autoSpaceDE w:val="0"/>
        <w:autoSpaceDN w:val="0"/>
        <w:adjustRightInd w:val="0"/>
        <w:spacing w:after="0" w:line="400" w:lineRule="atLeast"/>
        <w:rPr>
          <w:rFonts w:cs="Times New Roman"/>
          <w:b/>
          <w:bCs/>
          <w:i/>
          <w:iCs/>
          <w:color w:val="002060"/>
          <w:sz w:val="28"/>
          <w:szCs w:val="28"/>
        </w:rPr>
      </w:pPr>
      <w:r w:rsidRPr="00A961CA">
        <w:rPr>
          <w:rFonts w:cs="Times New Roman"/>
          <w:b/>
          <w:bCs/>
          <w:i/>
          <w:iCs/>
          <w:color w:val="002060"/>
          <w:sz w:val="28"/>
          <w:szCs w:val="28"/>
        </w:rPr>
        <w:t>Table 2 : the OGD findings in the IDA patients.</w:t>
      </w:r>
    </w:p>
    <w:p w:rsidR="00925943" w:rsidRPr="00A961CA" w:rsidRDefault="00925943" w:rsidP="00925943">
      <w:pPr>
        <w:autoSpaceDE w:val="0"/>
        <w:autoSpaceDN w:val="0"/>
        <w:adjustRightInd w:val="0"/>
        <w:spacing w:after="0" w:line="240" w:lineRule="auto"/>
        <w:rPr>
          <w:rFonts w:cs="Times New Roman"/>
          <w:sz w:val="24"/>
          <w:szCs w:val="24"/>
        </w:rPr>
      </w:pPr>
    </w:p>
    <w:p w:rsidR="00925943" w:rsidRPr="00A961CA" w:rsidRDefault="00925943" w:rsidP="00925943">
      <w:pPr>
        <w:autoSpaceDE w:val="0"/>
        <w:autoSpaceDN w:val="0"/>
        <w:adjustRightInd w:val="0"/>
        <w:spacing w:after="0" w:line="240" w:lineRule="auto"/>
        <w:rPr>
          <w:rFonts w:cs="Times New Roman"/>
          <w:sz w:val="24"/>
          <w:szCs w:val="24"/>
        </w:rPr>
      </w:pPr>
    </w:p>
    <w:p w:rsidR="00007935" w:rsidRPr="00A961CA" w:rsidRDefault="00007935" w:rsidP="00007935">
      <w:pPr>
        <w:autoSpaceDE w:val="0"/>
        <w:autoSpaceDN w:val="0"/>
        <w:adjustRightInd w:val="0"/>
        <w:spacing w:after="0" w:line="240" w:lineRule="auto"/>
        <w:rPr>
          <w:rFonts w:cs="Times New Roman"/>
          <w:sz w:val="24"/>
          <w:szCs w:val="24"/>
        </w:rPr>
      </w:pPr>
      <w:r w:rsidRPr="00A961CA">
        <w:rPr>
          <w:rFonts w:cs="Times New Roman"/>
          <w:noProof/>
          <w:sz w:val="24"/>
          <w:szCs w:val="24"/>
        </w:rPr>
        <w:lastRenderedPageBreak/>
        <w:drawing>
          <wp:inline distT="0" distB="0" distL="0" distR="0">
            <wp:extent cx="2857500" cy="4762500"/>
            <wp:effectExtent l="19050" t="0" r="0" b="0"/>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2857500" cy="4762500"/>
                    </a:xfrm>
                    <a:prstGeom prst="rect">
                      <a:avLst/>
                    </a:prstGeom>
                    <a:noFill/>
                    <a:ln w="9525">
                      <a:noFill/>
                      <a:miter lim="800000"/>
                      <a:headEnd/>
                      <a:tailEnd/>
                    </a:ln>
                  </pic:spPr>
                </pic:pic>
              </a:graphicData>
            </a:graphic>
          </wp:inline>
        </w:drawing>
      </w:r>
    </w:p>
    <w:p w:rsidR="00007935" w:rsidRPr="00A961CA" w:rsidRDefault="00007935" w:rsidP="00007935">
      <w:pPr>
        <w:autoSpaceDE w:val="0"/>
        <w:autoSpaceDN w:val="0"/>
        <w:adjustRightInd w:val="0"/>
        <w:spacing w:after="0" w:line="240" w:lineRule="auto"/>
        <w:rPr>
          <w:rFonts w:cs="Times New Roman"/>
          <w:sz w:val="24"/>
          <w:szCs w:val="24"/>
        </w:rPr>
      </w:pPr>
    </w:p>
    <w:p w:rsidR="000277AA" w:rsidRPr="00A961CA" w:rsidRDefault="00F05B9C" w:rsidP="000277AA">
      <w:pPr>
        <w:rPr>
          <w:rFonts w:cs="Times New Roman"/>
          <w:b/>
          <w:bCs/>
          <w:i/>
          <w:iCs/>
          <w:color w:val="17365D" w:themeColor="text2" w:themeShade="BF"/>
          <w:sz w:val="28"/>
          <w:szCs w:val="28"/>
        </w:rPr>
      </w:pPr>
      <w:r>
        <w:rPr>
          <w:rFonts w:cs="Times New Roman"/>
          <w:b/>
          <w:bCs/>
          <w:i/>
          <w:iCs/>
          <w:color w:val="17365D" w:themeColor="text2" w:themeShade="BF"/>
          <w:sz w:val="28"/>
          <w:szCs w:val="28"/>
        </w:rPr>
        <w:t>Figure 1</w:t>
      </w:r>
      <w:r w:rsidR="00007935" w:rsidRPr="00A961CA">
        <w:rPr>
          <w:rFonts w:cs="Times New Roman"/>
          <w:b/>
          <w:bCs/>
          <w:i/>
          <w:iCs/>
          <w:color w:val="17365D" w:themeColor="text2" w:themeShade="BF"/>
          <w:sz w:val="28"/>
          <w:szCs w:val="28"/>
        </w:rPr>
        <w:t xml:space="preserve"> :the endoscopic findings in the 2</w:t>
      </w:r>
      <w:r w:rsidR="00007935" w:rsidRPr="00A961CA">
        <w:rPr>
          <w:rFonts w:cs="Times New Roman"/>
          <w:b/>
          <w:bCs/>
          <w:i/>
          <w:iCs/>
          <w:color w:val="17365D" w:themeColor="text2" w:themeShade="BF"/>
          <w:sz w:val="28"/>
          <w:szCs w:val="28"/>
          <w:vertAlign w:val="superscript"/>
        </w:rPr>
        <w:t>nd</w:t>
      </w:r>
      <w:r w:rsidR="00D943CB" w:rsidRPr="00A961CA">
        <w:rPr>
          <w:rFonts w:cs="Times New Roman"/>
          <w:b/>
          <w:bCs/>
          <w:i/>
          <w:iCs/>
          <w:color w:val="17365D" w:themeColor="text2" w:themeShade="BF"/>
          <w:sz w:val="28"/>
          <w:szCs w:val="28"/>
        </w:rPr>
        <w:t>part of the duodenum  in IDA patients</w:t>
      </w:r>
    </w:p>
    <w:p w:rsidR="00925943" w:rsidRPr="00A961CA" w:rsidRDefault="000277AA" w:rsidP="000277AA">
      <w:pPr>
        <w:rPr>
          <w:rFonts w:cstheme="majorBidi"/>
          <w:b/>
          <w:bCs/>
          <w:sz w:val="24"/>
          <w:szCs w:val="24"/>
        </w:rPr>
      </w:pPr>
      <w:r w:rsidRPr="00A961CA">
        <w:rPr>
          <w:rFonts w:cstheme="majorBidi"/>
          <w:b/>
          <w:bCs/>
          <w:sz w:val="28"/>
          <w:szCs w:val="28"/>
        </w:rPr>
        <w:t>.in the biopsy  Celiac disease was found in 78 patients (20 male and 58 females), which accounted for 25.3% of all patients with iron-deficiency anemia in this study</w:t>
      </w:r>
      <w:r w:rsidR="00DD2055">
        <w:rPr>
          <w:rFonts w:cstheme="majorBidi" w:hint="cs"/>
          <w:b/>
          <w:bCs/>
          <w:sz w:val="28"/>
          <w:szCs w:val="28"/>
        </w:rPr>
        <w:t xml:space="preserve"> ,from 78 CD ,</w:t>
      </w:r>
      <w:r w:rsidR="005602B6">
        <w:rPr>
          <w:rFonts w:cstheme="majorBidi" w:hint="cs"/>
          <w:b/>
          <w:bCs/>
          <w:sz w:val="28"/>
          <w:szCs w:val="28"/>
        </w:rPr>
        <w:t xml:space="preserve">76 of them had serrated </w:t>
      </w:r>
      <w:r w:rsidR="006463BA">
        <w:rPr>
          <w:rFonts w:cstheme="majorBidi" w:hint="cs"/>
          <w:b/>
          <w:bCs/>
          <w:sz w:val="28"/>
          <w:szCs w:val="28"/>
        </w:rPr>
        <w:t xml:space="preserve">duodenal </w:t>
      </w:r>
      <w:r w:rsidR="005602B6">
        <w:rPr>
          <w:rFonts w:cstheme="majorBidi" w:hint="cs"/>
          <w:b/>
          <w:bCs/>
          <w:sz w:val="28"/>
          <w:szCs w:val="28"/>
        </w:rPr>
        <w:t>mucosa</w:t>
      </w:r>
      <w:r w:rsidR="006463BA">
        <w:rPr>
          <w:rFonts w:cstheme="majorBidi" w:hint="cs"/>
          <w:b/>
          <w:bCs/>
          <w:sz w:val="28"/>
          <w:szCs w:val="28"/>
        </w:rPr>
        <w:t xml:space="preserve">  and only two patients had normal mucosa so the sensitivity of endoscopy is </w:t>
      </w:r>
      <w:r w:rsidR="009163F4">
        <w:rPr>
          <w:rFonts w:cstheme="majorBidi" w:hint="cs"/>
          <w:b/>
          <w:bCs/>
          <w:sz w:val="28"/>
          <w:szCs w:val="28"/>
        </w:rPr>
        <w:t>97.4%</w:t>
      </w:r>
      <w:r w:rsidR="00246661">
        <w:rPr>
          <w:rFonts w:cstheme="majorBidi" w:hint="cs"/>
          <w:b/>
          <w:bCs/>
          <w:sz w:val="28"/>
          <w:szCs w:val="28"/>
        </w:rPr>
        <w:t xml:space="preserve"> and specificity </w:t>
      </w:r>
      <w:r w:rsidR="009B1EFF">
        <w:rPr>
          <w:rFonts w:cstheme="majorBidi" w:hint="cs"/>
          <w:b/>
          <w:bCs/>
          <w:sz w:val="28"/>
          <w:szCs w:val="28"/>
        </w:rPr>
        <w:t>is 29.7%</w:t>
      </w:r>
      <w:r w:rsidRPr="00A961CA">
        <w:rPr>
          <w:rFonts w:cstheme="majorBidi"/>
          <w:b/>
          <w:bCs/>
          <w:sz w:val="28"/>
          <w:szCs w:val="28"/>
        </w:rPr>
        <w:t>. 55 of them had already positive serology  and the rest was recommended to do the tests after biopsy</w:t>
      </w:r>
    </w:p>
    <w:p w:rsidR="000277AA" w:rsidRPr="00A961CA" w:rsidRDefault="00CF6B11" w:rsidP="000277AA">
      <w:pPr>
        <w:autoSpaceDE w:val="0"/>
        <w:autoSpaceDN w:val="0"/>
        <w:adjustRightInd w:val="0"/>
        <w:spacing w:after="0" w:line="240" w:lineRule="auto"/>
        <w:rPr>
          <w:rFonts w:cs="Times New Roman"/>
          <w:sz w:val="24"/>
          <w:szCs w:val="24"/>
        </w:rPr>
      </w:pPr>
      <w:r w:rsidRPr="00A961CA">
        <w:rPr>
          <w:rFonts w:cs="Times New Roman"/>
          <w:noProof/>
          <w:sz w:val="24"/>
          <w:szCs w:val="24"/>
        </w:rPr>
        <w:lastRenderedPageBreak/>
        <w:drawing>
          <wp:inline distT="0" distB="0" distL="0" distR="0">
            <wp:extent cx="5010150" cy="3859494"/>
            <wp:effectExtent l="1905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012801" cy="3861536"/>
                    </a:xfrm>
                    <a:prstGeom prst="rect">
                      <a:avLst/>
                    </a:prstGeom>
                    <a:noFill/>
                    <a:ln w="9525">
                      <a:noFill/>
                      <a:miter lim="800000"/>
                      <a:headEnd/>
                      <a:tailEnd/>
                    </a:ln>
                  </pic:spPr>
                </pic:pic>
              </a:graphicData>
            </a:graphic>
          </wp:inline>
        </w:drawing>
      </w:r>
    </w:p>
    <w:p w:rsidR="000277AA" w:rsidRPr="00A961CA" w:rsidRDefault="00F05B9C" w:rsidP="000277AA">
      <w:pPr>
        <w:autoSpaceDE w:val="0"/>
        <w:autoSpaceDN w:val="0"/>
        <w:adjustRightInd w:val="0"/>
        <w:spacing w:after="0" w:line="240" w:lineRule="auto"/>
        <w:rPr>
          <w:rFonts w:cs="Times New Roman"/>
          <w:b/>
          <w:bCs/>
          <w:i/>
          <w:iCs/>
          <w:color w:val="17365D" w:themeColor="text2" w:themeShade="BF"/>
          <w:sz w:val="28"/>
          <w:szCs w:val="28"/>
        </w:rPr>
      </w:pPr>
      <w:r>
        <w:rPr>
          <w:rFonts w:cs="Times New Roman"/>
          <w:b/>
          <w:bCs/>
          <w:i/>
          <w:iCs/>
          <w:color w:val="17365D" w:themeColor="text2" w:themeShade="BF"/>
          <w:sz w:val="28"/>
          <w:szCs w:val="28"/>
        </w:rPr>
        <w:t>Figure 2</w:t>
      </w:r>
      <w:r w:rsidR="00D943CB" w:rsidRPr="00A961CA">
        <w:rPr>
          <w:rFonts w:cs="Times New Roman"/>
          <w:b/>
          <w:bCs/>
          <w:i/>
          <w:iCs/>
          <w:color w:val="17365D" w:themeColor="text2" w:themeShade="BF"/>
          <w:sz w:val="28"/>
          <w:szCs w:val="28"/>
        </w:rPr>
        <w:t xml:space="preserve"> :  the frequency of celiac disease in duodenal biopsy</w:t>
      </w:r>
    </w:p>
    <w:p w:rsidR="00D943CB" w:rsidRPr="00A961CA" w:rsidRDefault="00D943CB" w:rsidP="009F38FD">
      <w:pPr>
        <w:autoSpaceDE w:val="0"/>
        <w:autoSpaceDN w:val="0"/>
        <w:adjustRightInd w:val="0"/>
        <w:spacing w:after="0" w:line="240" w:lineRule="auto"/>
        <w:rPr>
          <w:rFonts w:cs="Times New Roman"/>
          <w:noProof/>
          <w:sz w:val="24"/>
          <w:szCs w:val="24"/>
        </w:rPr>
      </w:pPr>
    </w:p>
    <w:p w:rsidR="00F05B9C" w:rsidRDefault="000277AA" w:rsidP="00F05B9C">
      <w:pPr>
        <w:autoSpaceDE w:val="0"/>
        <w:autoSpaceDN w:val="0"/>
        <w:adjustRightInd w:val="0"/>
        <w:spacing w:after="0" w:line="240" w:lineRule="auto"/>
        <w:rPr>
          <w:rFonts w:cs="Times New Roman"/>
          <w:sz w:val="24"/>
          <w:szCs w:val="24"/>
        </w:rPr>
      </w:pPr>
      <w:r w:rsidRPr="00A961CA">
        <w:rPr>
          <w:rFonts w:cs="Times New Roman"/>
          <w:noProof/>
          <w:sz w:val="24"/>
          <w:szCs w:val="24"/>
        </w:rPr>
        <w:drawing>
          <wp:inline distT="0" distB="0" distL="0" distR="0">
            <wp:extent cx="4452272" cy="3434200"/>
            <wp:effectExtent l="19050" t="0" r="5428"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457342" cy="3438111"/>
                    </a:xfrm>
                    <a:prstGeom prst="rect">
                      <a:avLst/>
                    </a:prstGeom>
                    <a:noFill/>
                    <a:ln w="9525">
                      <a:noFill/>
                      <a:miter lim="800000"/>
                      <a:headEnd/>
                      <a:tailEnd/>
                    </a:ln>
                  </pic:spPr>
                </pic:pic>
              </a:graphicData>
            </a:graphic>
          </wp:inline>
        </w:drawing>
      </w:r>
    </w:p>
    <w:p w:rsidR="009F38FD" w:rsidRPr="00F05B9C" w:rsidRDefault="00F05B9C" w:rsidP="00F05B9C">
      <w:pPr>
        <w:autoSpaceDE w:val="0"/>
        <w:autoSpaceDN w:val="0"/>
        <w:adjustRightInd w:val="0"/>
        <w:spacing w:after="0" w:line="240" w:lineRule="auto"/>
        <w:rPr>
          <w:rFonts w:cs="Times New Roman"/>
          <w:sz w:val="24"/>
          <w:szCs w:val="24"/>
        </w:rPr>
      </w:pPr>
      <w:r>
        <w:rPr>
          <w:rFonts w:cs="Times New Roman"/>
          <w:b/>
          <w:bCs/>
          <w:i/>
          <w:iCs/>
          <w:color w:val="17365D" w:themeColor="text2" w:themeShade="BF"/>
          <w:sz w:val="24"/>
          <w:szCs w:val="24"/>
        </w:rPr>
        <w:lastRenderedPageBreak/>
        <w:t>figure 3</w:t>
      </w:r>
      <w:r w:rsidR="00D943CB" w:rsidRPr="00A961CA">
        <w:rPr>
          <w:rFonts w:cs="Times New Roman"/>
          <w:b/>
          <w:bCs/>
          <w:i/>
          <w:iCs/>
          <w:color w:val="17365D" w:themeColor="text2" w:themeShade="BF"/>
          <w:sz w:val="24"/>
          <w:szCs w:val="24"/>
        </w:rPr>
        <w:t xml:space="preserve"> : the frequency of celiac disease in comparsion</w:t>
      </w:r>
      <w:r w:rsidR="007836D5" w:rsidRPr="00A961CA">
        <w:rPr>
          <w:rFonts w:cs="Times New Roman"/>
          <w:b/>
          <w:bCs/>
          <w:i/>
          <w:iCs/>
          <w:color w:val="17365D" w:themeColor="text2" w:themeShade="BF"/>
          <w:sz w:val="24"/>
          <w:szCs w:val="24"/>
        </w:rPr>
        <w:t xml:space="preserve">with endoscopic feature </w:t>
      </w:r>
    </w:p>
    <w:p w:rsidR="00F05B9C" w:rsidRDefault="00F05B9C" w:rsidP="009F38FD">
      <w:pPr>
        <w:autoSpaceDE w:val="0"/>
        <w:autoSpaceDN w:val="0"/>
        <w:adjustRightInd w:val="0"/>
        <w:spacing w:after="0" w:line="240" w:lineRule="auto"/>
        <w:rPr>
          <w:rFonts w:cstheme="majorBidi"/>
          <w:b/>
          <w:bCs/>
          <w:sz w:val="28"/>
          <w:szCs w:val="28"/>
        </w:rPr>
      </w:pPr>
    </w:p>
    <w:p w:rsidR="00A42A03" w:rsidRPr="00A961CA" w:rsidRDefault="005364EE" w:rsidP="009F38FD">
      <w:pPr>
        <w:autoSpaceDE w:val="0"/>
        <w:autoSpaceDN w:val="0"/>
        <w:adjustRightInd w:val="0"/>
        <w:spacing w:after="0" w:line="240" w:lineRule="auto"/>
        <w:rPr>
          <w:rFonts w:cstheme="majorBidi"/>
          <w:b/>
          <w:bCs/>
          <w:sz w:val="24"/>
          <w:szCs w:val="24"/>
        </w:rPr>
      </w:pPr>
      <w:r w:rsidRPr="00A961CA">
        <w:rPr>
          <w:rFonts w:cstheme="majorBidi"/>
          <w:b/>
          <w:bCs/>
          <w:sz w:val="28"/>
          <w:szCs w:val="28"/>
        </w:rPr>
        <w:t>.</w:t>
      </w:r>
      <w:r w:rsidR="007E72C2" w:rsidRPr="00A961CA">
        <w:rPr>
          <w:rFonts w:cstheme="majorBidi"/>
          <w:b/>
          <w:bCs/>
          <w:sz w:val="28"/>
          <w:szCs w:val="28"/>
        </w:rPr>
        <w:t xml:space="preserve"> From those 78 patients the most common finding </w:t>
      </w:r>
      <w:r w:rsidR="00E54DCD" w:rsidRPr="00A961CA">
        <w:rPr>
          <w:rFonts w:cstheme="majorBidi"/>
          <w:b/>
          <w:bCs/>
          <w:sz w:val="28"/>
          <w:szCs w:val="28"/>
        </w:rPr>
        <w:t xml:space="preserve">in biopsy was Marsh III A in 35 (44.9 %)patients ,followed by 23(29.5 %) </w:t>
      </w:r>
      <w:r w:rsidR="007E72C2" w:rsidRPr="00A961CA">
        <w:rPr>
          <w:rFonts w:cstheme="majorBidi"/>
          <w:b/>
          <w:bCs/>
          <w:sz w:val="28"/>
          <w:szCs w:val="28"/>
        </w:rPr>
        <w:t xml:space="preserve">patients had Marsh III B , while Marsh </w:t>
      </w:r>
      <w:r w:rsidR="00D154C7" w:rsidRPr="00A961CA">
        <w:rPr>
          <w:rFonts w:cstheme="majorBidi"/>
          <w:b/>
          <w:bCs/>
          <w:sz w:val="28"/>
          <w:szCs w:val="28"/>
        </w:rPr>
        <w:t>III C</w:t>
      </w:r>
      <w:r w:rsidR="00E54DCD" w:rsidRPr="00A961CA">
        <w:rPr>
          <w:rFonts w:cstheme="majorBidi"/>
          <w:b/>
          <w:bCs/>
          <w:sz w:val="28"/>
          <w:szCs w:val="28"/>
        </w:rPr>
        <w:t xml:space="preserve"> in 14 (17.9 %) patients , 5 (6.5 %)</w:t>
      </w:r>
      <w:r w:rsidR="007E72C2" w:rsidRPr="00A961CA">
        <w:rPr>
          <w:rFonts w:cstheme="majorBidi"/>
          <w:b/>
          <w:bCs/>
          <w:sz w:val="28"/>
          <w:szCs w:val="28"/>
        </w:rPr>
        <w:t xml:space="preserve"> had Marsh  II</w:t>
      </w:r>
      <w:r w:rsidR="00D154C7" w:rsidRPr="00A961CA">
        <w:rPr>
          <w:rFonts w:cstheme="majorBidi"/>
          <w:b/>
          <w:bCs/>
          <w:sz w:val="28"/>
          <w:szCs w:val="28"/>
        </w:rPr>
        <w:t xml:space="preserve"> ,and one patient</w:t>
      </w:r>
      <w:r w:rsidR="00E54DCD" w:rsidRPr="00A961CA">
        <w:rPr>
          <w:rFonts w:cstheme="majorBidi"/>
          <w:b/>
          <w:bCs/>
          <w:sz w:val="28"/>
          <w:szCs w:val="28"/>
        </w:rPr>
        <w:t>(1.2 %)</w:t>
      </w:r>
      <w:r w:rsidR="00D154C7" w:rsidRPr="00A961CA">
        <w:rPr>
          <w:rFonts w:cstheme="majorBidi"/>
          <w:b/>
          <w:bCs/>
          <w:sz w:val="28"/>
          <w:szCs w:val="28"/>
        </w:rPr>
        <w:t xml:space="preserve"> had Marsh I. We found also there were 12 patients with positive and endoscopic feature of celiac disease but had negative biopsy</w:t>
      </w:r>
      <w:r w:rsidR="00522856">
        <w:rPr>
          <w:rFonts w:cstheme="majorBidi"/>
          <w:b/>
          <w:bCs/>
          <w:sz w:val="28"/>
          <w:szCs w:val="28"/>
        </w:rPr>
        <w:t xml:space="preserve"> this may goes with potential celiac disease. we found about 6 patients had DM type one ,one patient with thyroid disease and one patient had wilsone disease &amp; auto immune hepatitis . None of the most</w:t>
      </w:r>
      <w:r w:rsidR="00A42A03" w:rsidRPr="00A961CA">
        <w:rPr>
          <w:rFonts w:cstheme="majorBidi"/>
          <w:b/>
          <w:bCs/>
          <w:sz w:val="28"/>
          <w:szCs w:val="28"/>
        </w:rPr>
        <w:t xml:space="preserve"> patients had diarrhea, skin rash, or other evidence of celiac disease, emphasizing the occult nature of this disease.</w:t>
      </w:r>
    </w:p>
    <w:p w:rsidR="00A42A03" w:rsidRPr="00A961CA" w:rsidRDefault="00A42A03" w:rsidP="001069EA">
      <w:pPr>
        <w:jc w:val="center"/>
        <w:rPr>
          <w:rFonts w:cstheme="majorBidi"/>
          <w:sz w:val="28"/>
          <w:szCs w:val="28"/>
        </w:rPr>
      </w:pPr>
    </w:p>
    <w:tbl>
      <w:tblPr>
        <w:tblStyle w:val="TableGrid"/>
        <w:tblW w:w="0" w:type="auto"/>
        <w:tblLook w:val="04A0" w:firstRow="1" w:lastRow="0" w:firstColumn="1" w:lastColumn="0" w:noHBand="0" w:noVBand="1"/>
      </w:tblPr>
      <w:tblGrid>
        <w:gridCol w:w="8755"/>
      </w:tblGrid>
      <w:tr w:rsidR="00351535" w:rsidRPr="00A961CA" w:rsidTr="001069EA">
        <w:tc>
          <w:tcPr>
            <w:tcW w:w="8755" w:type="dxa"/>
          </w:tcPr>
          <w:tbl>
            <w:tblPr>
              <w:tblStyle w:val="TableGrid"/>
              <w:tblW w:w="0" w:type="auto"/>
              <w:tblLook w:val="04A0" w:firstRow="1" w:lastRow="0" w:firstColumn="1" w:lastColumn="0" w:noHBand="0" w:noVBand="1"/>
            </w:tblPr>
            <w:tblGrid>
              <w:gridCol w:w="3115"/>
              <w:gridCol w:w="3115"/>
              <w:gridCol w:w="2270"/>
            </w:tblGrid>
            <w:tr w:rsidR="00351535" w:rsidRPr="00A961CA" w:rsidTr="001069EA">
              <w:tc>
                <w:tcPr>
                  <w:tcW w:w="3115" w:type="dxa"/>
                </w:tcPr>
                <w:p w:rsidR="00351535" w:rsidRPr="00A961CA" w:rsidRDefault="00351535" w:rsidP="001069EA">
                  <w:pPr>
                    <w:jc w:val="center"/>
                    <w:rPr>
                      <w:rFonts w:cstheme="majorBidi"/>
                      <w:sz w:val="28"/>
                      <w:szCs w:val="28"/>
                    </w:rPr>
                  </w:pPr>
                  <w:r w:rsidRPr="00A961CA">
                    <w:rPr>
                      <w:rFonts w:cstheme="majorBidi"/>
                      <w:sz w:val="28"/>
                      <w:szCs w:val="28"/>
                    </w:rPr>
                    <w:t>Marsh classification</w:t>
                  </w:r>
                </w:p>
              </w:tc>
              <w:tc>
                <w:tcPr>
                  <w:tcW w:w="3115" w:type="dxa"/>
                </w:tcPr>
                <w:p w:rsidR="00351535" w:rsidRPr="00A961CA" w:rsidRDefault="00351535" w:rsidP="001069EA">
                  <w:pPr>
                    <w:jc w:val="center"/>
                    <w:rPr>
                      <w:rFonts w:cstheme="majorBidi"/>
                      <w:sz w:val="28"/>
                      <w:szCs w:val="28"/>
                    </w:rPr>
                  </w:pPr>
                  <w:r w:rsidRPr="00A961CA">
                    <w:rPr>
                      <w:rFonts w:cstheme="majorBidi"/>
                      <w:sz w:val="28"/>
                      <w:szCs w:val="28"/>
                    </w:rPr>
                    <w:t>Frequency</w:t>
                  </w:r>
                </w:p>
              </w:tc>
              <w:tc>
                <w:tcPr>
                  <w:tcW w:w="2270" w:type="dxa"/>
                </w:tcPr>
                <w:p w:rsidR="00351535" w:rsidRPr="00A961CA" w:rsidRDefault="00351535" w:rsidP="001069EA">
                  <w:pPr>
                    <w:jc w:val="center"/>
                    <w:rPr>
                      <w:rFonts w:cstheme="majorBidi"/>
                      <w:sz w:val="28"/>
                      <w:szCs w:val="28"/>
                    </w:rPr>
                  </w:pPr>
                  <w:r w:rsidRPr="00A961CA">
                    <w:rPr>
                      <w:rFonts w:cstheme="majorBidi"/>
                      <w:sz w:val="28"/>
                      <w:szCs w:val="28"/>
                    </w:rPr>
                    <w:t>Percentage</w:t>
                  </w:r>
                </w:p>
              </w:tc>
            </w:tr>
            <w:tr w:rsidR="00351535" w:rsidRPr="00A961CA" w:rsidTr="001069EA">
              <w:tc>
                <w:tcPr>
                  <w:tcW w:w="3115" w:type="dxa"/>
                </w:tcPr>
                <w:p w:rsidR="00351535" w:rsidRPr="00A961CA" w:rsidRDefault="00351535" w:rsidP="001069EA">
                  <w:pPr>
                    <w:jc w:val="center"/>
                    <w:rPr>
                      <w:rFonts w:cstheme="majorBidi"/>
                      <w:sz w:val="28"/>
                      <w:szCs w:val="28"/>
                    </w:rPr>
                  </w:pPr>
                  <w:r w:rsidRPr="00A961CA">
                    <w:rPr>
                      <w:rFonts w:cstheme="majorBidi"/>
                      <w:sz w:val="28"/>
                      <w:szCs w:val="28"/>
                    </w:rPr>
                    <w:t>Marsh I</w:t>
                  </w:r>
                </w:p>
              </w:tc>
              <w:tc>
                <w:tcPr>
                  <w:tcW w:w="3115" w:type="dxa"/>
                </w:tcPr>
                <w:p w:rsidR="00351535" w:rsidRPr="00A961CA" w:rsidRDefault="00351535" w:rsidP="001069EA">
                  <w:pPr>
                    <w:jc w:val="center"/>
                    <w:rPr>
                      <w:rFonts w:cstheme="majorBidi"/>
                      <w:sz w:val="28"/>
                      <w:szCs w:val="28"/>
                    </w:rPr>
                  </w:pPr>
                  <w:r w:rsidRPr="00A961CA">
                    <w:rPr>
                      <w:rFonts w:cstheme="majorBidi"/>
                      <w:sz w:val="28"/>
                      <w:szCs w:val="28"/>
                    </w:rPr>
                    <w:t>1</w:t>
                  </w:r>
                </w:p>
              </w:tc>
              <w:tc>
                <w:tcPr>
                  <w:tcW w:w="2270" w:type="dxa"/>
                </w:tcPr>
                <w:p w:rsidR="00351535" w:rsidRPr="00A961CA" w:rsidRDefault="00351535" w:rsidP="001069EA">
                  <w:pPr>
                    <w:jc w:val="center"/>
                    <w:rPr>
                      <w:rFonts w:cstheme="majorBidi"/>
                      <w:sz w:val="28"/>
                      <w:szCs w:val="28"/>
                    </w:rPr>
                  </w:pPr>
                  <w:r w:rsidRPr="00A961CA">
                    <w:rPr>
                      <w:rFonts w:cstheme="majorBidi"/>
                      <w:sz w:val="28"/>
                      <w:szCs w:val="28"/>
                    </w:rPr>
                    <w:t>1.2 %</w:t>
                  </w:r>
                </w:p>
              </w:tc>
            </w:tr>
            <w:tr w:rsidR="00351535" w:rsidRPr="00A961CA" w:rsidTr="001069EA">
              <w:tc>
                <w:tcPr>
                  <w:tcW w:w="3115" w:type="dxa"/>
                </w:tcPr>
                <w:p w:rsidR="00351535" w:rsidRPr="00A961CA" w:rsidRDefault="00351535" w:rsidP="001069EA">
                  <w:pPr>
                    <w:jc w:val="center"/>
                    <w:rPr>
                      <w:rFonts w:cstheme="majorBidi"/>
                      <w:sz w:val="28"/>
                      <w:szCs w:val="28"/>
                    </w:rPr>
                  </w:pPr>
                  <w:r w:rsidRPr="00A961CA">
                    <w:rPr>
                      <w:rFonts w:cstheme="majorBidi"/>
                      <w:sz w:val="28"/>
                      <w:szCs w:val="28"/>
                    </w:rPr>
                    <w:t>Marsh II</w:t>
                  </w:r>
                </w:p>
              </w:tc>
              <w:tc>
                <w:tcPr>
                  <w:tcW w:w="3115" w:type="dxa"/>
                </w:tcPr>
                <w:p w:rsidR="00351535" w:rsidRPr="00A961CA" w:rsidRDefault="00351535" w:rsidP="001069EA">
                  <w:pPr>
                    <w:jc w:val="center"/>
                    <w:rPr>
                      <w:rFonts w:cstheme="majorBidi"/>
                      <w:sz w:val="28"/>
                      <w:szCs w:val="28"/>
                    </w:rPr>
                  </w:pPr>
                  <w:r w:rsidRPr="00A961CA">
                    <w:rPr>
                      <w:rFonts w:cstheme="majorBidi"/>
                      <w:sz w:val="28"/>
                      <w:szCs w:val="28"/>
                    </w:rPr>
                    <w:t>5</w:t>
                  </w:r>
                </w:p>
              </w:tc>
              <w:tc>
                <w:tcPr>
                  <w:tcW w:w="2270" w:type="dxa"/>
                </w:tcPr>
                <w:p w:rsidR="00351535" w:rsidRPr="00A961CA" w:rsidRDefault="00351535" w:rsidP="001069EA">
                  <w:pPr>
                    <w:jc w:val="center"/>
                    <w:rPr>
                      <w:rFonts w:cstheme="majorBidi"/>
                      <w:sz w:val="28"/>
                      <w:szCs w:val="28"/>
                    </w:rPr>
                  </w:pPr>
                  <w:r w:rsidRPr="00A961CA">
                    <w:rPr>
                      <w:rFonts w:cstheme="majorBidi"/>
                      <w:sz w:val="28"/>
                      <w:szCs w:val="28"/>
                    </w:rPr>
                    <w:t>6.5 %</w:t>
                  </w:r>
                </w:p>
              </w:tc>
            </w:tr>
            <w:tr w:rsidR="00351535" w:rsidRPr="00A961CA" w:rsidTr="001069EA">
              <w:tc>
                <w:tcPr>
                  <w:tcW w:w="3115" w:type="dxa"/>
                </w:tcPr>
                <w:p w:rsidR="00351535" w:rsidRPr="00A961CA" w:rsidRDefault="00351535" w:rsidP="001069EA">
                  <w:pPr>
                    <w:jc w:val="center"/>
                    <w:rPr>
                      <w:rFonts w:cstheme="majorBidi"/>
                      <w:sz w:val="28"/>
                      <w:szCs w:val="28"/>
                    </w:rPr>
                  </w:pPr>
                  <w:r w:rsidRPr="00A961CA">
                    <w:rPr>
                      <w:rFonts w:cstheme="majorBidi"/>
                      <w:sz w:val="28"/>
                      <w:szCs w:val="28"/>
                    </w:rPr>
                    <w:t>Marsh III A</w:t>
                  </w:r>
                </w:p>
              </w:tc>
              <w:tc>
                <w:tcPr>
                  <w:tcW w:w="3115" w:type="dxa"/>
                </w:tcPr>
                <w:p w:rsidR="00351535" w:rsidRPr="00A961CA" w:rsidRDefault="00351535" w:rsidP="001069EA">
                  <w:pPr>
                    <w:jc w:val="center"/>
                    <w:rPr>
                      <w:rFonts w:cstheme="majorBidi"/>
                      <w:sz w:val="28"/>
                      <w:szCs w:val="28"/>
                    </w:rPr>
                  </w:pPr>
                  <w:r w:rsidRPr="00A961CA">
                    <w:rPr>
                      <w:rFonts w:cstheme="majorBidi"/>
                      <w:sz w:val="28"/>
                      <w:szCs w:val="28"/>
                    </w:rPr>
                    <w:t>35</w:t>
                  </w:r>
                </w:p>
              </w:tc>
              <w:tc>
                <w:tcPr>
                  <w:tcW w:w="2270" w:type="dxa"/>
                </w:tcPr>
                <w:p w:rsidR="00351535" w:rsidRPr="00A961CA" w:rsidRDefault="00351535" w:rsidP="001069EA">
                  <w:pPr>
                    <w:jc w:val="center"/>
                    <w:rPr>
                      <w:rFonts w:cstheme="majorBidi"/>
                      <w:sz w:val="28"/>
                      <w:szCs w:val="28"/>
                    </w:rPr>
                  </w:pPr>
                  <w:r w:rsidRPr="00A961CA">
                    <w:rPr>
                      <w:rFonts w:cstheme="majorBidi"/>
                      <w:sz w:val="28"/>
                      <w:szCs w:val="28"/>
                    </w:rPr>
                    <w:t>44.9 %</w:t>
                  </w:r>
                </w:p>
              </w:tc>
            </w:tr>
            <w:tr w:rsidR="00351535" w:rsidRPr="00A961CA" w:rsidTr="001069EA">
              <w:tc>
                <w:tcPr>
                  <w:tcW w:w="3115" w:type="dxa"/>
                </w:tcPr>
                <w:p w:rsidR="00351535" w:rsidRPr="00A961CA" w:rsidRDefault="00351535" w:rsidP="001069EA">
                  <w:pPr>
                    <w:jc w:val="center"/>
                    <w:rPr>
                      <w:rFonts w:cstheme="majorBidi"/>
                      <w:sz w:val="28"/>
                      <w:szCs w:val="28"/>
                    </w:rPr>
                  </w:pPr>
                  <w:r w:rsidRPr="00A961CA">
                    <w:rPr>
                      <w:rFonts w:cstheme="majorBidi"/>
                      <w:sz w:val="28"/>
                      <w:szCs w:val="28"/>
                    </w:rPr>
                    <w:t>Marsh III B</w:t>
                  </w:r>
                </w:p>
              </w:tc>
              <w:tc>
                <w:tcPr>
                  <w:tcW w:w="3115" w:type="dxa"/>
                </w:tcPr>
                <w:p w:rsidR="00351535" w:rsidRPr="00A961CA" w:rsidRDefault="00351535" w:rsidP="001069EA">
                  <w:pPr>
                    <w:jc w:val="center"/>
                    <w:rPr>
                      <w:rFonts w:cstheme="majorBidi"/>
                      <w:sz w:val="28"/>
                      <w:szCs w:val="28"/>
                    </w:rPr>
                  </w:pPr>
                  <w:r w:rsidRPr="00A961CA">
                    <w:rPr>
                      <w:rFonts w:cstheme="majorBidi"/>
                      <w:sz w:val="28"/>
                      <w:szCs w:val="28"/>
                    </w:rPr>
                    <w:t>23</w:t>
                  </w:r>
                </w:p>
              </w:tc>
              <w:tc>
                <w:tcPr>
                  <w:tcW w:w="2270" w:type="dxa"/>
                </w:tcPr>
                <w:p w:rsidR="00351535" w:rsidRPr="00A961CA" w:rsidRDefault="00351535" w:rsidP="001069EA">
                  <w:pPr>
                    <w:jc w:val="center"/>
                    <w:rPr>
                      <w:rFonts w:cstheme="majorBidi"/>
                      <w:sz w:val="28"/>
                      <w:szCs w:val="28"/>
                    </w:rPr>
                  </w:pPr>
                  <w:r w:rsidRPr="00A961CA">
                    <w:rPr>
                      <w:rFonts w:cstheme="majorBidi"/>
                      <w:sz w:val="28"/>
                      <w:szCs w:val="28"/>
                    </w:rPr>
                    <w:t>29.5 %</w:t>
                  </w:r>
                </w:p>
              </w:tc>
            </w:tr>
            <w:tr w:rsidR="00351535" w:rsidRPr="00A961CA" w:rsidTr="001069EA">
              <w:tc>
                <w:tcPr>
                  <w:tcW w:w="3115" w:type="dxa"/>
                </w:tcPr>
                <w:p w:rsidR="00351535" w:rsidRPr="00A961CA" w:rsidRDefault="00351535" w:rsidP="001069EA">
                  <w:pPr>
                    <w:jc w:val="center"/>
                    <w:rPr>
                      <w:rFonts w:cstheme="majorBidi"/>
                      <w:sz w:val="28"/>
                      <w:szCs w:val="28"/>
                    </w:rPr>
                  </w:pPr>
                  <w:r w:rsidRPr="00A961CA">
                    <w:rPr>
                      <w:rFonts w:cstheme="majorBidi"/>
                      <w:sz w:val="28"/>
                      <w:szCs w:val="28"/>
                    </w:rPr>
                    <w:t>Marsh III C</w:t>
                  </w:r>
                </w:p>
              </w:tc>
              <w:tc>
                <w:tcPr>
                  <w:tcW w:w="3115" w:type="dxa"/>
                </w:tcPr>
                <w:p w:rsidR="00351535" w:rsidRPr="00A961CA" w:rsidRDefault="00351535" w:rsidP="001069EA">
                  <w:pPr>
                    <w:jc w:val="center"/>
                    <w:rPr>
                      <w:rFonts w:cstheme="majorBidi"/>
                      <w:sz w:val="28"/>
                      <w:szCs w:val="28"/>
                    </w:rPr>
                  </w:pPr>
                  <w:r w:rsidRPr="00A961CA">
                    <w:rPr>
                      <w:rFonts w:cstheme="majorBidi"/>
                      <w:sz w:val="28"/>
                      <w:szCs w:val="28"/>
                    </w:rPr>
                    <w:t>14</w:t>
                  </w:r>
                </w:p>
              </w:tc>
              <w:tc>
                <w:tcPr>
                  <w:tcW w:w="2270" w:type="dxa"/>
                </w:tcPr>
                <w:p w:rsidR="00351535" w:rsidRPr="00A961CA" w:rsidRDefault="00351535" w:rsidP="001069EA">
                  <w:pPr>
                    <w:jc w:val="center"/>
                    <w:rPr>
                      <w:rFonts w:cstheme="majorBidi"/>
                      <w:sz w:val="28"/>
                      <w:szCs w:val="28"/>
                    </w:rPr>
                  </w:pPr>
                  <w:r w:rsidRPr="00A961CA">
                    <w:rPr>
                      <w:rFonts w:cstheme="majorBidi"/>
                      <w:sz w:val="28"/>
                      <w:szCs w:val="28"/>
                    </w:rPr>
                    <w:t>17.9 %</w:t>
                  </w:r>
                </w:p>
              </w:tc>
            </w:tr>
            <w:tr w:rsidR="00351535" w:rsidRPr="00A961CA" w:rsidTr="001069EA">
              <w:tc>
                <w:tcPr>
                  <w:tcW w:w="3115" w:type="dxa"/>
                </w:tcPr>
                <w:p w:rsidR="00351535" w:rsidRPr="00A961CA" w:rsidRDefault="00351535" w:rsidP="001069EA">
                  <w:pPr>
                    <w:jc w:val="center"/>
                    <w:rPr>
                      <w:rFonts w:cstheme="majorBidi"/>
                      <w:sz w:val="28"/>
                      <w:szCs w:val="28"/>
                    </w:rPr>
                  </w:pPr>
                  <w:r w:rsidRPr="00A961CA">
                    <w:rPr>
                      <w:rFonts w:cstheme="majorBidi"/>
                      <w:sz w:val="28"/>
                      <w:szCs w:val="28"/>
                    </w:rPr>
                    <w:t>Total</w:t>
                  </w:r>
                </w:p>
              </w:tc>
              <w:tc>
                <w:tcPr>
                  <w:tcW w:w="3115" w:type="dxa"/>
                </w:tcPr>
                <w:p w:rsidR="00351535" w:rsidRPr="00A961CA" w:rsidRDefault="00351535" w:rsidP="001069EA">
                  <w:pPr>
                    <w:jc w:val="center"/>
                    <w:rPr>
                      <w:rFonts w:cstheme="majorBidi"/>
                      <w:sz w:val="28"/>
                      <w:szCs w:val="28"/>
                    </w:rPr>
                  </w:pPr>
                  <w:r w:rsidRPr="00A961CA">
                    <w:rPr>
                      <w:rFonts w:cstheme="majorBidi"/>
                      <w:sz w:val="28"/>
                      <w:szCs w:val="28"/>
                    </w:rPr>
                    <w:t>78</w:t>
                  </w:r>
                </w:p>
              </w:tc>
              <w:tc>
                <w:tcPr>
                  <w:tcW w:w="2270" w:type="dxa"/>
                </w:tcPr>
                <w:p w:rsidR="00351535" w:rsidRPr="00A961CA" w:rsidRDefault="00351535" w:rsidP="001069EA">
                  <w:pPr>
                    <w:jc w:val="center"/>
                    <w:rPr>
                      <w:rFonts w:cstheme="majorBidi"/>
                      <w:sz w:val="28"/>
                      <w:szCs w:val="28"/>
                    </w:rPr>
                  </w:pPr>
                  <w:r w:rsidRPr="00A961CA">
                    <w:rPr>
                      <w:rFonts w:cstheme="majorBidi"/>
                      <w:sz w:val="28"/>
                      <w:szCs w:val="28"/>
                    </w:rPr>
                    <w:t>100 %</w:t>
                  </w:r>
                </w:p>
              </w:tc>
            </w:tr>
          </w:tbl>
          <w:p w:rsidR="00351535" w:rsidRPr="00A961CA" w:rsidRDefault="00351535" w:rsidP="001069EA">
            <w:pPr>
              <w:jc w:val="center"/>
              <w:rPr>
                <w:rFonts w:cstheme="majorBidi"/>
                <w:sz w:val="28"/>
                <w:szCs w:val="28"/>
              </w:rPr>
            </w:pPr>
          </w:p>
        </w:tc>
      </w:tr>
    </w:tbl>
    <w:p w:rsidR="009F38FD" w:rsidRPr="00A961CA" w:rsidRDefault="00E54DCD" w:rsidP="00A42A03">
      <w:pPr>
        <w:rPr>
          <w:rFonts w:cstheme="majorBidi"/>
          <w:b/>
          <w:bCs/>
          <w:i/>
          <w:iCs/>
          <w:color w:val="17365D" w:themeColor="text2" w:themeShade="BF"/>
          <w:sz w:val="28"/>
          <w:szCs w:val="28"/>
        </w:rPr>
      </w:pPr>
      <w:r w:rsidRPr="00A961CA">
        <w:rPr>
          <w:rFonts w:cstheme="majorBidi"/>
          <w:b/>
          <w:bCs/>
          <w:i/>
          <w:iCs/>
          <w:color w:val="17365D" w:themeColor="text2" w:themeShade="BF"/>
          <w:sz w:val="28"/>
          <w:szCs w:val="28"/>
        </w:rPr>
        <w:t xml:space="preserve">Table 3 : the Marsh classification of celiac disease </w:t>
      </w:r>
      <w:r w:rsidR="0056012D" w:rsidRPr="00A961CA">
        <w:rPr>
          <w:rFonts w:cstheme="majorBidi"/>
          <w:b/>
          <w:bCs/>
          <w:i/>
          <w:iCs/>
          <w:color w:val="17365D" w:themeColor="text2" w:themeShade="BF"/>
          <w:sz w:val="28"/>
          <w:szCs w:val="28"/>
        </w:rPr>
        <w:t xml:space="preserve">&amp; frequency </w:t>
      </w:r>
    </w:p>
    <w:p w:rsidR="009F38FD" w:rsidRPr="00A961CA" w:rsidRDefault="009F38FD" w:rsidP="00A42A03">
      <w:pPr>
        <w:rPr>
          <w:sz w:val="28"/>
          <w:szCs w:val="28"/>
        </w:rPr>
      </w:pPr>
    </w:p>
    <w:p w:rsidR="001069EA" w:rsidRPr="00A961CA" w:rsidRDefault="001069EA" w:rsidP="001069EA">
      <w:pPr>
        <w:autoSpaceDE w:val="0"/>
        <w:autoSpaceDN w:val="0"/>
        <w:adjustRightInd w:val="0"/>
        <w:spacing w:after="0" w:line="240" w:lineRule="auto"/>
        <w:rPr>
          <w:rFonts w:cs="Times New Roman"/>
          <w:sz w:val="24"/>
          <w:szCs w:val="24"/>
        </w:rPr>
      </w:pPr>
    </w:p>
    <w:tbl>
      <w:tblPr>
        <w:tblW w:w="7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31"/>
        <w:gridCol w:w="999"/>
        <w:gridCol w:w="1615"/>
        <w:gridCol w:w="1014"/>
        <w:gridCol w:w="1152"/>
        <w:gridCol w:w="1014"/>
      </w:tblGrid>
      <w:tr w:rsidR="001069EA" w:rsidRPr="00A961CA">
        <w:trPr>
          <w:cantSplit/>
        </w:trPr>
        <w:tc>
          <w:tcPr>
            <w:tcW w:w="7022" w:type="dxa"/>
            <w:gridSpan w:val="6"/>
            <w:tcBorders>
              <w:top w:val="nil"/>
              <w:left w:val="nil"/>
              <w:bottom w:val="nil"/>
              <w:right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center"/>
              <w:rPr>
                <w:rFonts w:cs="Arial"/>
                <w:color w:val="000000"/>
                <w:sz w:val="18"/>
                <w:szCs w:val="18"/>
              </w:rPr>
            </w:pPr>
            <w:r w:rsidRPr="00A961CA">
              <w:rPr>
                <w:rFonts w:cs="Arial"/>
                <w:b/>
                <w:bCs/>
                <w:color w:val="000000"/>
                <w:sz w:val="18"/>
                <w:szCs w:val="18"/>
              </w:rPr>
              <w:t>Endoscopy * biopsy Crosstabulation</w:t>
            </w:r>
          </w:p>
        </w:tc>
      </w:tr>
      <w:tr w:rsidR="001069EA" w:rsidRPr="00A961CA">
        <w:trPr>
          <w:cantSplit/>
        </w:trPr>
        <w:tc>
          <w:tcPr>
            <w:tcW w:w="3842" w:type="dxa"/>
            <w:gridSpan w:val="3"/>
            <w:vMerge w:val="restart"/>
            <w:tcBorders>
              <w:top w:val="single" w:sz="16" w:space="0" w:color="000000"/>
              <w:left w:val="single" w:sz="16" w:space="0" w:color="000000"/>
              <w:bottom w:val="nil"/>
              <w:right w:val="nil"/>
            </w:tcBorders>
            <w:shd w:val="clear" w:color="auto" w:fill="FFFFFF"/>
            <w:vAlign w:val="bottom"/>
          </w:tcPr>
          <w:p w:rsidR="001069EA" w:rsidRPr="00A961CA" w:rsidRDefault="001069EA" w:rsidP="001069EA">
            <w:pPr>
              <w:autoSpaceDE w:val="0"/>
              <w:autoSpaceDN w:val="0"/>
              <w:adjustRightInd w:val="0"/>
              <w:spacing w:after="0" w:line="240" w:lineRule="auto"/>
              <w:rPr>
                <w:rFonts w:cs="Times New Roman"/>
                <w:sz w:val="24"/>
                <w:szCs w:val="24"/>
              </w:rPr>
            </w:pPr>
          </w:p>
        </w:tc>
        <w:tc>
          <w:tcPr>
            <w:tcW w:w="2166" w:type="dxa"/>
            <w:gridSpan w:val="2"/>
            <w:tcBorders>
              <w:top w:val="single" w:sz="16" w:space="0" w:color="000000"/>
              <w:left w:val="single" w:sz="16" w:space="0" w:color="000000"/>
            </w:tcBorders>
            <w:shd w:val="clear" w:color="auto" w:fill="FFFFFF"/>
            <w:vAlign w:val="bottom"/>
          </w:tcPr>
          <w:p w:rsidR="001069EA" w:rsidRPr="00A961CA" w:rsidRDefault="001069EA" w:rsidP="001069EA">
            <w:pPr>
              <w:autoSpaceDE w:val="0"/>
              <w:autoSpaceDN w:val="0"/>
              <w:adjustRightInd w:val="0"/>
              <w:spacing w:after="0" w:line="320" w:lineRule="atLeast"/>
              <w:ind w:left="60" w:right="60"/>
              <w:jc w:val="center"/>
              <w:rPr>
                <w:rFonts w:cs="Arial"/>
                <w:color w:val="000000"/>
                <w:sz w:val="18"/>
                <w:szCs w:val="18"/>
              </w:rPr>
            </w:pPr>
            <w:r w:rsidRPr="00A961CA">
              <w:rPr>
                <w:rFonts w:cs="Arial"/>
                <w:color w:val="000000"/>
                <w:sz w:val="18"/>
                <w:szCs w:val="18"/>
              </w:rPr>
              <w:t>biopsy</w:t>
            </w:r>
          </w:p>
        </w:tc>
        <w:tc>
          <w:tcPr>
            <w:tcW w:w="1014" w:type="dxa"/>
            <w:vMerge w:val="restart"/>
            <w:tcBorders>
              <w:top w:val="single" w:sz="16" w:space="0" w:color="000000"/>
              <w:right w:val="single" w:sz="16" w:space="0" w:color="000000"/>
            </w:tcBorders>
            <w:shd w:val="clear" w:color="auto" w:fill="FFFFFF"/>
            <w:vAlign w:val="bottom"/>
          </w:tcPr>
          <w:p w:rsidR="001069EA" w:rsidRPr="00A961CA" w:rsidRDefault="001069EA" w:rsidP="001069EA">
            <w:pPr>
              <w:autoSpaceDE w:val="0"/>
              <w:autoSpaceDN w:val="0"/>
              <w:adjustRightInd w:val="0"/>
              <w:spacing w:after="0" w:line="320" w:lineRule="atLeast"/>
              <w:ind w:left="60" w:right="60"/>
              <w:jc w:val="center"/>
              <w:rPr>
                <w:rFonts w:cs="Arial"/>
                <w:color w:val="000000"/>
                <w:sz w:val="18"/>
                <w:szCs w:val="18"/>
              </w:rPr>
            </w:pPr>
            <w:r w:rsidRPr="00A961CA">
              <w:rPr>
                <w:rFonts w:cs="Arial"/>
                <w:color w:val="000000"/>
                <w:sz w:val="18"/>
                <w:szCs w:val="18"/>
              </w:rPr>
              <w:t>Total</w:t>
            </w:r>
          </w:p>
        </w:tc>
      </w:tr>
      <w:tr w:rsidR="001069EA" w:rsidRPr="00A961CA">
        <w:trPr>
          <w:cantSplit/>
        </w:trPr>
        <w:tc>
          <w:tcPr>
            <w:tcW w:w="3842" w:type="dxa"/>
            <w:gridSpan w:val="3"/>
            <w:vMerge/>
            <w:tcBorders>
              <w:top w:val="single" w:sz="16" w:space="0" w:color="000000"/>
              <w:left w:val="single" w:sz="16" w:space="0" w:color="000000"/>
              <w:bottom w:val="nil"/>
              <w:right w:val="nil"/>
            </w:tcBorders>
            <w:shd w:val="clear" w:color="auto" w:fill="FFFFFF"/>
            <w:vAlign w:val="bottom"/>
          </w:tcPr>
          <w:p w:rsidR="001069EA" w:rsidRPr="00A961CA" w:rsidRDefault="001069EA" w:rsidP="001069EA">
            <w:pPr>
              <w:autoSpaceDE w:val="0"/>
              <w:autoSpaceDN w:val="0"/>
              <w:adjustRightInd w:val="0"/>
              <w:spacing w:after="0" w:line="240" w:lineRule="auto"/>
              <w:rPr>
                <w:rFonts w:cs="Arial"/>
                <w:color w:val="000000"/>
                <w:sz w:val="18"/>
                <w:szCs w:val="18"/>
              </w:rPr>
            </w:pPr>
          </w:p>
        </w:tc>
        <w:tc>
          <w:tcPr>
            <w:tcW w:w="1014" w:type="dxa"/>
            <w:tcBorders>
              <w:left w:val="single" w:sz="16" w:space="0" w:color="000000"/>
              <w:bottom w:val="single" w:sz="16" w:space="0" w:color="000000"/>
            </w:tcBorders>
            <w:shd w:val="clear" w:color="auto" w:fill="FFFFFF"/>
            <w:vAlign w:val="bottom"/>
          </w:tcPr>
          <w:p w:rsidR="001069EA" w:rsidRPr="00A961CA" w:rsidRDefault="001069EA" w:rsidP="001069EA">
            <w:pPr>
              <w:autoSpaceDE w:val="0"/>
              <w:autoSpaceDN w:val="0"/>
              <w:adjustRightInd w:val="0"/>
              <w:spacing w:after="0" w:line="320" w:lineRule="atLeast"/>
              <w:ind w:left="60" w:right="60"/>
              <w:jc w:val="center"/>
              <w:rPr>
                <w:rFonts w:cs="Arial"/>
                <w:color w:val="000000"/>
                <w:sz w:val="18"/>
                <w:szCs w:val="18"/>
              </w:rPr>
            </w:pPr>
            <w:r w:rsidRPr="00A961CA">
              <w:rPr>
                <w:rFonts w:cs="Arial"/>
                <w:color w:val="000000"/>
                <w:sz w:val="18"/>
                <w:szCs w:val="18"/>
              </w:rPr>
              <w:t>celiac</w:t>
            </w:r>
          </w:p>
        </w:tc>
        <w:tc>
          <w:tcPr>
            <w:tcW w:w="1152" w:type="dxa"/>
            <w:tcBorders>
              <w:bottom w:val="single" w:sz="16" w:space="0" w:color="000000"/>
            </w:tcBorders>
            <w:shd w:val="clear" w:color="auto" w:fill="FFFFFF"/>
            <w:vAlign w:val="bottom"/>
          </w:tcPr>
          <w:p w:rsidR="001069EA" w:rsidRPr="00A961CA" w:rsidRDefault="001069EA" w:rsidP="001069EA">
            <w:pPr>
              <w:autoSpaceDE w:val="0"/>
              <w:autoSpaceDN w:val="0"/>
              <w:adjustRightInd w:val="0"/>
              <w:spacing w:after="0" w:line="320" w:lineRule="atLeast"/>
              <w:ind w:left="60" w:right="60"/>
              <w:jc w:val="center"/>
              <w:rPr>
                <w:rFonts w:cs="Arial"/>
                <w:color w:val="000000"/>
                <w:sz w:val="18"/>
                <w:szCs w:val="18"/>
              </w:rPr>
            </w:pPr>
            <w:r w:rsidRPr="00A961CA">
              <w:rPr>
                <w:rFonts w:cs="Arial"/>
                <w:color w:val="000000"/>
                <w:sz w:val="18"/>
                <w:szCs w:val="18"/>
              </w:rPr>
              <w:t>non celiac</w:t>
            </w:r>
          </w:p>
        </w:tc>
        <w:tc>
          <w:tcPr>
            <w:tcW w:w="1014" w:type="dxa"/>
            <w:vMerge/>
            <w:tcBorders>
              <w:top w:val="single" w:sz="16" w:space="0" w:color="000000"/>
              <w:right w:val="single" w:sz="16" w:space="0" w:color="000000"/>
            </w:tcBorders>
            <w:shd w:val="clear" w:color="auto" w:fill="FFFFFF"/>
            <w:vAlign w:val="bottom"/>
          </w:tcPr>
          <w:p w:rsidR="001069EA" w:rsidRPr="00A961CA" w:rsidRDefault="001069EA" w:rsidP="001069EA">
            <w:pPr>
              <w:autoSpaceDE w:val="0"/>
              <w:autoSpaceDN w:val="0"/>
              <w:adjustRightInd w:val="0"/>
              <w:spacing w:after="0" w:line="240" w:lineRule="auto"/>
              <w:rPr>
                <w:rFonts w:cs="Arial"/>
                <w:color w:val="000000"/>
                <w:sz w:val="18"/>
                <w:szCs w:val="18"/>
              </w:rPr>
            </w:pPr>
          </w:p>
        </w:tc>
      </w:tr>
      <w:tr w:rsidR="001069EA" w:rsidRPr="00A961CA">
        <w:trPr>
          <w:cantSplit/>
        </w:trPr>
        <w:tc>
          <w:tcPr>
            <w:tcW w:w="1229" w:type="dxa"/>
            <w:vMerge w:val="restart"/>
            <w:tcBorders>
              <w:top w:val="single" w:sz="16" w:space="0" w:color="000000"/>
              <w:left w:val="single" w:sz="16" w:space="0" w:color="000000"/>
              <w:right w:val="nil"/>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Endoscopy</w:t>
            </w:r>
          </w:p>
        </w:tc>
        <w:tc>
          <w:tcPr>
            <w:tcW w:w="999" w:type="dxa"/>
            <w:vMerge w:val="restart"/>
            <w:tcBorders>
              <w:top w:val="single" w:sz="16" w:space="0" w:color="000000"/>
              <w:left w:val="nil"/>
              <w:right w:val="nil"/>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normal</w:t>
            </w:r>
          </w:p>
        </w:tc>
        <w:tc>
          <w:tcPr>
            <w:tcW w:w="1614" w:type="dxa"/>
            <w:tcBorders>
              <w:top w:val="single" w:sz="16" w:space="0" w:color="000000"/>
              <w:left w:val="nil"/>
              <w:bottom w:val="nil"/>
              <w:right w:val="single" w:sz="16" w:space="0" w:color="000000"/>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Count</w:t>
            </w:r>
          </w:p>
        </w:tc>
        <w:tc>
          <w:tcPr>
            <w:tcW w:w="1014" w:type="dxa"/>
            <w:tcBorders>
              <w:top w:val="single" w:sz="16" w:space="0" w:color="000000"/>
              <w:left w:val="single" w:sz="16" w:space="0" w:color="000000"/>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2</w:t>
            </w:r>
            <w:r w:rsidRPr="00A961CA">
              <w:rPr>
                <w:rFonts w:cs="Arial"/>
                <w:color w:val="000000"/>
                <w:sz w:val="18"/>
                <w:szCs w:val="18"/>
                <w:vertAlign w:val="subscript"/>
              </w:rPr>
              <w:t>a</w:t>
            </w:r>
          </w:p>
        </w:tc>
        <w:tc>
          <w:tcPr>
            <w:tcW w:w="1152" w:type="dxa"/>
            <w:tcBorders>
              <w:top w:val="single" w:sz="16" w:space="0" w:color="000000"/>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195</w:t>
            </w:r>
            <w:r w:rsidRPr="00A961CA">
              <w:rPr>
                <w:rFonts w:cs="Arial"/>
                <w:color w:val="000000"/>
                <w:sz w:val="18"/>
                <w:szCs w:val="18"/>
                <w:vertAlign w:val="subscript"/>
              </w:rPr>
              <w:t>b</w:t>
            </w:r>
          </w:p>
        </w:tc>
        <w:tc>
          <w:tcPr>
            <w:tcW w:w="1014" w:type="dxa"/>
            <w:tcBorders>
              <w:top w:val="single" w:sz="16" w:space="0" w:color="000000"/>
              <w:bottom w:val="nil"/>
              <w:right w:val="single" w:sz="16" w:space="0" w:color="000000"/>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197</w:t>
            </w:r>
          </w:p>
        </w:tc>
      </w:tr>
      <w:tr w:rsidR="001069EA" w:rsidRPr="00A961CA">
        <w:trPr>
          <w:cantSplit/>
        </w:trPr>
        <w:tc>
          <w:tcPr>
            <w:tcW w:w="1229" w:type="dxa"/>
            <w:vMerge/>
            <w:tcBorders>
              <w:top w:val="single" w:sz="16" w:space="0" w:color="000000"/>
              <w:left w:val="single" w:sz="16" w:space="0" w:color="000000"/>
              <w:right w:val="nil"/>
            </w:tcBorders>
            <w:shd w:val="clear" w:color="auto" w:fill="FFFFFF"/>
          </w:tcPr>
          <w:p w:rsidR="001069EA" w:rsidRPr="00A961CA" w:rsidRDefault="001069EA" w:rsidP="001069EA">
            <w:pPr>
              <w:autoSpaceDE w:val="0"/>
              <w:autoSpaceDN w:val="0"/>
              <w:adjustRightInd w:val="0"/>
              <w:spacing w:after="0" w:line="240" w:lineRule="auto"/>
              <w:rPr>
                <w:rFonts w:cs="Arial"/>
                <w:color w:val="000000"/>
                <w:sz w:val="18"/>
                <w:szCs w:val="18"/>
              </w:rPr>
            </w:pPr>
          </w:p>
        </w:tc>
        <w:tc>
          <w:tcPr>
            <w:tcW w:w="999" w:type="dxa"/>
            <w:vMerge/>
            <w:tcBorders>
              <w:top w:val="single" w:sz="16" w:space="0" w:color="000000"/>
              <w:left w:val="nil"/>
              <w:right w:val="nil"/>
            </w:tcBorders>
            <w:shd w:val="clear" w:color="auto" w:fill="FFFFFF"/>
          </w:tcPr>
          <w:p w:rsidR="001069EA" w:rsidRPr="00A961CA" w:rsidRDefault="001069EA" w:rsidP="001069EA">
            <w:pPr>
              <w:autoSpaceDE w:val="0"/>
              <w:autoSpaceDN w:val="0"/>
              <w:adjustRightInd w:val="0"/>
              <w:spacing w:after="0" w:line="240" w:lineRule="auto"/>
              <w:rPr>
                <w:rFonts w:cs="Arial"/>
                <w:color w:val="000000"/>
                <w:sz w:val="18"/>
                <w:szCs w:val="18"/>
              </w:rPr>
            </w:pPr>
          </w:p>
        </w:tc>
        <w:tc>
          <w:tcPr>
            <w:tcW w:w="1614" w:type="dxa"/>
            <w:tcBorders>
              <w:top w:val="nil"/>
              <w:left w:val="nil"/>
              <w:right w:val="single" w:sz="16" w:space="0" w:color="000000"/>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Expected Count</w:t>
            </w:r>
          </w:p>
        </w:tc>
        <w:tc>
          <w:tcPr>
            <w:tcW w:w="1014" w:type="dxa"/>
            <w:tcBorders>
              <w:top w:val="nil"/>
              <w:left w:val="single" w:sz="16" w:space="0" w:color="000000"/>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49.9</w:t>
            </w:r>
          </w:p>
        </w:tc>
        <w:tc>
          <w:tcPr>
            <w:tcW w:w="1152" w:type="dxa"/>
            <w:tcBorders>
              <w:top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147.1</w:t>
            </w:r>
          </w:p>
        </w:tc>
        <w:tc>
          <w:tcPr>
            <w:tcW w:w="1014" w:type="dxa"/>
            <w:tcBorders>
              <w:top w:val="nil"/>
              <w:right w:val="single" w:sz="16" w:space="0" w:color="000000"/>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197.0</w:t>
            </w:r>
          </w:p>
        </w:tc>
      </w:tr>
      <w:tr w:rsidR="001069EA" w:rsidRPr="00A961CA">
        <w:trPr>
          <w:cantSplit/>
        </w:trPr>
        <w:tc>
          <w:tcPr>
            <w:tcW w:w="1229" w:type="dxa"/>
            <w:vMerge/>
            <w:tcBorders>
              <w:top w:val="single" w:sz="16" w:space="0" w:color="000000"/>
              <w:left w:val="single" w:sz="16" w:space="0" w:color="000000"/>
              <w:right w:val="nil"/>
            </w:tcBorders>
            <w:shd w:val="clear" w:color="auto" w:fill="FFFFFF"/>
          </w:tcPr>
          <w:p w:rsidR="001069EA" w:rsidRPr="00A961CA" w:rsidRDefault="001069EA" w:rsidP="001069EA">
            <w:pPr>
              <w:autoSpaceDE w:val="0"/>
              <w:autoSpaceDN w:val="0"/>
              <w:adjustRightInd w:val="0"/>
              <w:spacing w:after="0" w:line="240" w:lineRule="auto"/>
              <w:rPr>
                <w:rFonts w:cs="Arial"/>
                <w:color w:val="000000"/>
                <w:sz w:val="18"/>
                <w:szCs w:val="18"/>
              </w:rPr>
            </w:pPr>
          </w:p>
        </w:tc>
        <w:tc>
          <w:tcPr>
            <w:tcW w:w="999" w:type="dxa"/>
            <w:vMerge w:val="restart"/>
            <w:tcBorders>
              <w:top w:val="nil"/>
              <w:left w:val="nil"/>
              <w:right w:val="nil"/>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serrated</w:t>
            </w:r>
          </w:p>
        </w:tc>
        <w:tc>
          <w:tcPr>
            <w:tcW w:w="1614" w:type="dxa"/>
            <w:tcBorders>
              <w:top w:val="nil"/>
              <w:left w:val="nil"/>
              <w:bottom w:val="nil"/>
              <w:right w:val="single" w:sz="16" w:space="0" w:color="000000"/>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Count</w:t>
            </w:r>
          </w:p>
        </w:tc>
        <w:tc>
          <w:tcPr>
            <w:tcW w:w="1014" w:type="dxa"/>
            <w:tcBorders>
              <w:top w:val="nil"/>
              <w:left w:val="single" w:sz="16" w:space="0" w:color="000000"/>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76</w:t>
            </w:r>
            <w:r w:rsidRPr="00A961CA">
              <w:rPr>
                <w:rFonts w:cs="Arial"/>
                <w:color w:val="000000"/>
                <w:sz w:val="18"/>
                <w:szCs w:val="18"/>
                <w:vertAlign w:val="subscript"/>
              </w:rPr>
              <w:t>a</w:t>
            </w:r>
          </w:p>
        </w:tc>
        <w:tc>
          <w:tcPr>
            <w:tcW w:w="1152"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35</w:t>
            </w:r>
            <w:r w:rsidRPr="00A961CA">
              <w:rPr>
                <w:rFonts w:cs="Arial"/>
                <w:color w:val="000000"/>
                <w:sz w:val="18"/>
                <w:szCs w:val="18"/>
                <w:vertAlign w:val="subscript"/>
              </w:rPr>
              <w:t>b</w:t>
            </w:r>
          </w:p>
        </w:tc>
        <w:tc>
          <w:tcPr>
            <w:tcW w:w="1014" w:type="dxa"/>
            <w:tcBorders>
              <w:top w:val="nil"/>
              <w:bottom w:val="nil"/>
              <w:right w:val="single" w:sz="16" w:space="0" w:color="000000"/>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111</w:t>
            </w:r>
          </w:p>
        </w:tc>
      </w:tr>
      <w:tr w:rsidR="001069EA" w:rsidRPr="00A961CA">
        <w:trPr>
          <w:cantSplit/>
        </w:trPr>
        <w:tc>
          <w:tcPr>
            <w:tcW w:w="1229" w:type="dxa"/>
            <w:vMerge/>
            <w:tcBorders>
              <w:top w:val="single" w:sz="16" w:space="0" w:color="000000"/>
              <w:left w:val="single" w:sz="16" w:space="0" w:color="000000"/>
              <w:right w:val="nil"/>
            </w:tcBorders>
            <w:shd w:val="clear" w:color="auto" w:fill="FFFFFF"/>
          </w:tcPr>
          <w:p w:rsidR="001069EA" w:rsidRPr="00A961CA" w:rsidRDefault="001069EA" w:rsidP="001069EA">
            <w:pPr>
              <w:autoSpaceDE w:val="0"/>
              <w:autoSpaceDN w:val="0"/>
              <w:adjustRightInd w:val="0"/>
              <w:spacing w:after="0" w:line="240" w:lineRule="auto"/>
              <w:rPr>
                <w:rFonts w:cs="Arial"/>
                <w:color w:val="000000"/>
                <w:sz w:val="18"/>
                <w:szCs w:val="18"/>
              </w:rPr>
            </w:pPr>
          </w:p>
        </w:tc>
        <w:tc>
          <w:tcPr>
            <w:tcW w:w="999" w:type="dxa"/>
            <w:vMerge/>
            <w:tcBorders>
              <w:top w:val="nil"/>
              <w:left w:val="nil"/>
              <w:right w:val="nil"/>
            </w:tcBorders>
            <w:shd w:val="clear" w:color="auto" w:fill="FFFFFF"/>
          </w:tcPr>
          <w:p w:rsidR="001069EA" w:rsidRPr="00A961CA" w:rsidRDefault="001069EA" w:rsidP="001069EA">
            <w:pPr>
              <w:autoSpaceDE w:val="0"/>
              <w:autoSpaceDN w:val="0"/>
              <w:adjustRightInd w:val="0"/>
              <w:spacing w:after="0" w:line="240" w:lineRule="auto"/>
              <w:rPr>
                <w:rFonts w:cs="Arial"/>
                <w:color w:val="000000"/>
                <w:sz w:val="18"/>
                <w:szCs w:val="18"/>
              </w:rPr>
            </w:pPr>
          </w:p>
        </w:tc>
        <w:tc>
          <w:tcPr>
            <w:tcW w:w="1614" w:type="dxa"/>
            <w:tcBorders>
              <w:top w:val="nil"/>
              <w:left w:val="nil"/>
              <w:right w:val="single" w:sz="16" w:space="0" w:color="000000"/>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Expected Count</w:t>
            </w:r>
          </w:p>
        </w:tc>
        <w:tc>
          <w:tcPr>
            <w:tcW w:w="1014" w:type="dxa"/>
            <w:tcBorders>
              <w:top w:val="nil"/>
              <w:left w:val="single" w:sz="16" w:space="0" w:color="000000"/>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28.1</w:t>
            </w:r>
          </w:p>
        </w:tc>
        <w:tc>
          <w:tcPr>
            <w:tcW w:w="1152" w:type="dxa"/>
            <w:tcBorders>
              <w:top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82.9</w:t>
            </w:r>
          </w:p>
        </w:tc>
        <w:tc>
          <w:tcPr>
            <w:tcW w:w="1014" w:type="dxa"/>
            <w:tcBorders>
              <w:top w:val="nil"/>
              <w:right w:val="single" w:sz="16" w:space="0" w:color="000000"/>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111.0</w:t>
            </w:r>
          </w:p>
        </w:tc>
      </w:tr>
      <w:tr w:rsidR="001069EA" w:rsidRPr="00A961CA">
        <w:trPr>
          <w:cantSplit/>
        </w:trPr>
        <w:tc>
          <w:tcPr>
            <w:tcW w:w="2228" w:type="dxa"/>
            <w:gridSpan w:val="2"/>
            <w:vMerge w:val="restart"/>
            <w:tcBorders>
              <w:top w:val="nil"/>
              <w:left w:val="single" w:sz="16" w:space="0" w:color="000000"/>
              <w:bottom w:val="single" w:sz="16" w:space="0" w:color="000000"/>
              <w:right w:val="nil"/>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Total</w:t>
            </w:r>
          </w:p>
        </w:tc>
        <w:tc>
          <w:tcPr>
            <w:tcW w:w="1614" w:type="dxa"/>
            <w:tcBorders>
              <w:top w:val="nil"/>
              <w:left w:val="nil"/>
              <w:bottom w:val="nil"/>
              <w:right w:val="single" w:sz="16" w:space="0" w:color="000000"/>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Count</w:t>
            </w:r>
          </w:p>
        </w:tc>
        <w:tc>
          <w:tcPr>
            <w:tcW w:w="1014" w:type="dxa"/>
            <w:tcBorders>
              <w:top w:val="nil"/>
              <w:left w:val="single" w:sz="16" w:space="0" w:color="000000"/>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78</w:t>
            </w:r>
          </w:p>
        </w:tc>
        <w:tc>
          <w:tcPr>
            <w:tcW w:w="1152"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230</w:t>
            </w:r>
          </w:p>
        </w:tc>
        <w:tc>
          <w:tcPr>
            <w:tcW w:w="1014" w:type="dxa"/>
            <w:tcBorders>
              <w:top w:val="nil"/>
              <w:bottom w:val="nil"/>
              <w:right w:val="single" w:sz="16" w:space="0" w:color="000000"/>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308</w:t>
            </w:r>
          </w:p>
        </w:tc>
      </w:tr>
      <w:tr w:rsidR="001069EA" w:rsidRPr="00A961CA">
        <w:trPr>
          <w:cantSplit/>
        </w:trPr>
        <w:tc>
          <w:tcPr>
            <w:tcW w:w="2228" w:type="dxa"/>
            <w:gridSpan w:val="2"/>
            <w:vMerge/>
            <w:tcBorders>
              <w:top w:val="nil"/>
              <w:left w:val="single" w:sz="16" w:space="0" w:color="000000"/>
              <w:bottom w:val="single" w:sz="16" w:space="0" w:color="000000"/>
              <w:right w:val="nil"/>
            </w:tcBorders>
            <w:shd w:val="clear" w:color="auto" w:fill="FFFFFF"/>
          </w:tcPr>
          <w:p w:rsidR="001069EA" w:rsidRPr="00A961CA" w:rsidRDefault="001069EA" w:rsidP="001069EA">
            <w:pPr>
              <w:autoSpaceDE w:val="0"/>
              <w:autoSpaceDN w:val="0"/>
              <w:adjustRightInd w:val="0"/>
              <w:spacing w:after="0" w:line="240" w:lineRule="auto"/>
              <w:rPr>
                <w:rFonts w:cs="Arial"/>
                <w:color w:val="000000"/>
                <w:sz w:val="18"/>
                <w:szCs w:val="18"/>
              </w:rPr>
            </w:pPr>
          </w:p>
        </w:tc>
        <w:tc>
          <w:tcPr>
            <w:tcW w:w="1614" w:type="dxa"/>
            <w:tcBorders>
              <w:top w:val="nil"/>
              <w:left w:val="nil"/>
              <w:bottom w:val="single" w:sz="16" w:space="0" w:color="000000"/>
              <w:right w:val="single" w:sz="16" w:space="0" w:color="000000"/>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Expected Count</w:t>
            </w:r>
          </w:p>
        </w:tc>
        <w:tc>
          <w:tcPr>
            <w:tcW w:w="1014" w:type="dxa"/>
            <w:tcBorders>
              <w:top w:val="nil"/>
              <w:left w:val="single" w:sz="16" w:space="0" w:color="000000"/>
              <w:bottom w:val="single" w:sz="16" w:space="0" w:color="000000"/>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78.0</w:t>
            </w:r>
          </w:p>
        </w:tc>
        <w:tc>
          <w:tcPr>
            <w:tcW w:w="1152" w:type="dxa"/>
            <w:tcBorders>
              <w:top w:val="nil"/>
              <w:bottom w:val="single" w:sz="16" w:space="0" w:color="000000"/>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230.0</w:t>
            </w:r>
          </w:p>
        </w:tc>
        <w:tc>
          <w:tcPr>
            <w:tcW w:w="1014" w:type="dxa"/>
            <w:tcBorders>
              <w:top w:val="nil"/>
              <w:bottom w:val="single" w:sz="16" w:space="0" w:color="000000"/>
              <w:right w:val="single" w:sz="16" w:space="0" w:color="000000"/>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308.0</w:t>
            </w:r>
          </w:p>
        </w:tc>
      </w:tr>
      <w:tr w:rsidR="001069EA" w:rsidRPr="00A961CA">
        <w:trPr>
          <w:cantSplit/>
        </w:trPr>
        <w:tc>
          <w:tcPr>
            <w:tcW w:w="7022" w:type="dxa"/>
            <w:gridSpan w:val="6"/>
            <w:tcBorders>
              <w:top w:val="nil"/>
              <w:left w:val="nil"/>
              <w:bottom w:val="nil"/>
              <w:right w:val="nil"/>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Each subscript letter denotes a subset of biopsy categories whose column proportions do not differ significantly from each other at the .05 level.</w:t>
            </w:r>
          </w:p>
        </w:tc>
      </w:tr>
    </w:tbl>
    <w:p w:rsidR="001069EA" w:rsidRPr="00A961CA" w:rsidRDefault="001069EA" w:rsidP="001069EA">
      <w:pPr>
        <w:autoSpaceDE w:val="0"/>
        <w:autoSpaceDN w:val="0"/>
        <w:adjustRightInd w:val="0"/>
        <w:spacing w:after="0" w:line="400" w:lineRule="atLeast"/>
        <w:rPr>
          <w:rFonts w:cs="Times New Roman"/>
          <w:sz w:val="24"/>
          <w:szCs w:val="24"/>
        </w:rPr>
      </w:pPr>
    </w:p>
    <w:p w:rsidR="001069EA" w:rsidRPr="00A961CA" w:rsidRDefault="001069EA" w:rsidP="001069EA">
      <w:pPr>
        <w:autoSpaceDE w:val="0"/>
        <w:autoSpaceDN w:val="0"/>
        <w:adjustRightInd w:val="0"/>
        <w:spacing w:after="0" w:line="240" w:lineRule="auto"/>
        <w:rPr>
          <w:rFonts w:cs="Times New Roman"/>
          <w:sz w:val="24"/>
          <w:szCs w:val="24"/>
        </w:rPr>
      </w:pPr>
    </w:p>
    <w:tbl>
      <w:tblPr>
        <w:tblW w:w="8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077"/>
        <w:gridCol w:w="1014"/>
        <w:gridCol w:w="1475"/>
        <w:gridCol w:w="1475"/>
        <w:gridCol w:w="1475"/>
      </w:tblGrid>
      <w:tr w:rsidR="001069EA" w:rsidRPr="00A961CA">
        <w:trPr>
          <w:cantSplit/>
        </w:trPr>
        <w:tc>
          <w:tcPr>
            <w:tcW w:w="8974" w:type="dxa"/>
            <w:gridSpan w:val="6"/>
            <w:tcBorders>
              <w:top w:val="nil"/>
              <w:left w:val="nil"/>
              <w:bottom w:val="nil"/>
              <w:right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center"/>
              <w:rPr>
                <w:rFonts w:cs="Arial"/>
                <w:color w:val="000000"/>
                <w:sz w:val="18"/>
                <w:szCs w:val="18"/>
              </w:rPr>
            </w:pPr>
            <w:r w:rsidRPr="00A961CA">
              <w:rPr>
                <w:rFonts w:cs="Arial"/>
                <w:b/>
                <w:bCs/>
                <w:color w:val="000000"/>
                <w:sz w:val="18"/>
                <w:szCs w:val="18"/>
              </w:rPr>
              <w:t>Chi-Square Tests</w:t>
            </w:r>
          </w:p>
        </w:tc>
      </w:tr>
      <w:tr w:rsidR="001069EA" w:rsidRPr="00A961CA">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069EA" w:rsidRPr="00A961CA" w:rsidRDefault="001069EA" w:rsidP="001069EA">
            <w:pPr>
              <w:autoSpaceDE w:val="0"/>
              <w:autoSpaceDN w:val="0"/>
              <w:adjustRightInd w:val="0"/>
              <w:spacing w:after="0" w:line="240" w:lineRule="auto"/>
              <w:rPr>
                <w:rFonts w:cs="Times New Roman"/>
                <w:sz w:val="24"/>
                <w:szCs w:val="24"/>
              </w:rPr>
            </w:pPr>
          </w:p>
        </w:tc>
        <w:tc>
          <w:tcPr>
            <w:tcW w:w="1076" w:type="dxa"/>
            <w:tcBorders>
              <w:top w:val="single" w:sz="16" w:space="0" w:color="000000"/>
              <w:left w:val="single" w:sz="16" w:space="0" w:color="000000"/>
              <w:bottom w:val="single" w:sz="16" w:space="0" w:color="000000"/>
            </w:tcBorders>
            <w:shd w:val="clear" w:color="auto" w:fill="FFFFFF"/>
            <w:vAlign w:val="bottom"/>
          </w:tcPr>
          <w:p w:rsidR="001069EA" w:rsidRPr="00A961CA" w:rsidRDefault="001069EA" w:rsidP="001069EA">
            <w:pPr>
              <w:autoSpaceDE w:val="0"/>
              <w:autoSpaceDN w:val="0"/>
              <w:adjustRightInd w:val="0"/>
              <w:spacing w:after="0" w:line="320" w:lineRule="atLeast"/>
              <w:ind w:left="60" w:right="60"/>
              <w:jc w:val="center"/>
              <w:rPr>
                <w:rFonts w:cs="Arial"/>
                <w:color w:val="000000"/>
                <w:sz w:val="18"/>
                <w:szCs w:val="18"/>
              </w:rPr>
            </w:pPr>
            <w:r w:rsidRPr="00A961CA">
              <w:rPr>
                <w:rFonts w:cs="Arial"/>
                <w:color w:val="000000"/>
                <w:sz w:val="18"/>
                <w:szCs w:val="18"/>
              </w:rPr>
              <w:t>Value</w:t>
            </w:r>
          </w:p>
        </w:tc>
        <w:tc>
          <w:tcPr>
            <w:tcW w:w="1014" w:type="dxa"/>
            <w:tcBorders>
              <w:top w:val="single" w:sz="16" w:space="0" w:color="000000"/>
              <w:bottom w:val="single" w:sz="16" w:space="0" w:color="000000"/>
            </w:tcBorders>
            <w:shd w:val="clear" w:color="auto" w:fill="FFFFFF"/>
            <w:vAlign w:val="bottom"/>
          </w:tcPr>
          <w:p w:rsidR="001069EA" w:rsidRPr="00A961CA" w:rsidRDefault="001069EA" w:rsidP="001069EA">
            <w:pPr>
              <w:autoSpaceDE w:val="0"/>
              <w:autoSpaceDN w:val="0"/>
              <w:adjustRightInd w:val="0"/>
              <w:spacing w:after="0" w:line="320" w:lineRule="atLeast"/>
              <w:ind w:left="60" w:right="60"/>
              <w:jc w:val="center"/>
              <w:rPr>
                <w:rFonts w:cs="Arial"/>
                <w:color w:val="000000"/>
                <w:sz w:val="18"/>
                <w:szCs w:val="18"/>
              </w:rPr>
            </w:pPr>
            <w:r w:rsidRPr="00A961CA">
              <w:rPr>
                <w:rFonts w:cs="Arial"/>
                <w:color w:val="000000"/>
                <w:sz w:val="18"/>
                <w:szCs w:val="18"/>
              </w:rPr>
              <w:t>df</w:t>
            </w:r>
          </w:p>
        </w:tc>
        <w:tc>
          <w:tcPr>
            <w:tcW w:w="1475" w:type="dxa"/>
            <w:tcBorders>
              <w:top w:val="single" w:sz="16" w:space="0" w:color="000000"/>
              <w:bottom w:val="single" w:sz="16" w:space="0" w:color="000000"/>
            </w:tcBorders>
            <w:shd w:val="clear" w:color="auto" w:fill="FFFFFF"/>
            <w:vAlign w:val="bottom"/>
          </w:tcPr>
          <w:p w:rsidR="001069EA" w:rsidRPr="00A961CA" w:rsidRDefault="001069EA" w:rsidP="001069EA">
            <w:pPr>
              <w:autoSpaceDE w:val="0"/>
              <w:autoSpaceDN w:val="0"/>
              <w:adjustRightInd w:val="0"/>
              <w:spacing w:after="0" w:line="320" w:lineRule="atLeast"/>
              <w:ind w:left="60" w:right="60"/>
              <w:jc w:val="center"/>
              <w:rPr>
                <w:rFonts w:cs="Arial"/>
                <w:color w:val="000000"/>
                <w:sz w:val="18"/>
                <w:szCs w:val="18"/>
              </w:rPr>
            </w:pPr>
            <w:r w:rsidRPr="00A961CA">
              <w:rPr>
                <w:rFonts w:cs="Arial"/>
                <w:color w:val="000000"/>
                <w:sz w:val="18"/>
                <w:szCs w:val="18"/>
              </w:rPr>
              <w:t>Asymptotic Significance (2-sided)</w:t>
            </w:r>
          </w:p>
        </w:tc>
        <w:tc>
          <w:tcPr>
            <w:tcW w:w="1475" w:type="dxa"/>
            <w:tcBorders>
              <w:top w:val="single" w:sz="16" w:space="0" w:color="000000"/>
              <w:bottom w:val="single" w:sz="16" w:space="0" w:color="000000"/>
            </w:tcBorders>
            <w:shd w:val="clear" w:color="auto" w:fill="FFFFFF"/>
            <w:vAlign w:val="bottom"/>
          </w:tcPr>
          <w:p w:rsidR="001069EA" w:rsidRPr="00A961CA" w:rsidRDefault="001069EA" w:rsidP="001069EA">
            <w:pPr>
              <w:autoSpaceDE w:val="0"/>
              <w:autoSpaceDN w:val="0"/>
              <w:adjustRightInd w:val="0"/>
              <w:spacing w:after="0" w:line="320" w:lineRule="atLeast"/>
              <w:ind w:left="60" w:right="60"/>
              <w:jc w:val="center"/>
              <w:rPr>
                <w:rFonts w:cs="Arial"/>
                <w:color w:val="000000"/>
                <w:sz w:val="18"/>
                <w:szCs w:val="18"/>
              </w:rPr>
            </w:pPr>
            <w:r w:rsidRPr="00A961CA">
              <w:rPr>
                <w:rFonts w:cs="Arial"/>
                <w:color w:val="000000"/>
                <w:sz w:val="18"/>
                <w:szCs w:val="18"/>
              </w:rPr>
              <w:t>Exact Sig. (2-sided)</w:t>
            </w:r>
          </w:p>
        </w:tc>
        <w:tc>
          <w:tcPr>
            <w:tcW w:w="1475" w:type="dxa"/>
            <w:tcBorders>
              <w:top w:val="single" w:sz="16" w:space="0" w:color="000000"/>
              <w:bottom w:val="single" w:sz="16" w:space="0" w:color="000000"/>
              <w:right w:val="single" w:sz="16" w:space="0" w:color="000000"/>
            </w:tcBorders>
            <w:shd w:val="clear" w:color="auto" w:fill="FFFFFF"/>
            <w:vAlign w:val="bottom"/>
          </w:tcPr>
          <w:p w:rsidR="001069EA" w:rsidRPr="00A961CA" w:rsidRDefault="001069EA" w:rsidP="001069EA">
            <w:pPr>
              <w:autoSpaceDE w:val="0"/>
              <w:autoSpaceDN w:val="0"/>
              <w:adjustRightInd w:val="0"/>
              <w:spacing w:after="0" w:line="320" w:lineRule="atLeast"/>
              <w:ind w:left="60" w:right="60"/>
              <w:jc w:val="center"/>
              <w:rPr>
                <w:rFonts w:cs="Arial"/>
                <w:color w:val="000000"/>
                <w:sz w:val="18"/>
                <w:szCs w:val="18"/>
              </w:rPr>
            </w:pPr>
            <w:r w:rsidRPr="00A961CA">
              <w:rPr>
                <w:rFonts w:cs="Arial"/>
                <w:color w:val="000000"/>
                <w:sz w:val="18"/>
                <w:szCs w:val="18"/>
              </w:rPr>
              <w:t>Exact Sig. (1-sided)</w:t>
            </w:r>
          </w:p>
        </w:tc>
      </w:tr>
      <w:tr w:rsidR="001069EA" w:rsidRPr="00A961CA">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Pearson Chi-Square</w:t>
            </w:r>
          </w:p>
        </w:tc>
        <w:tc>
          <w:tcPr>
            <w:tcW w:w="1076" w:type="dxa"/>
            <w:tcBorders>
              <w:top w:val="single" w:sz="16" w:space="0" w:color="000000"/>
              <w:left w:val="single" w:sz="16" w:space="0" w:color="000000"/>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170.814</w:t>
            </w:r>
            <w:r w:rsidRPr="00A961CA">
              <w:rPr>
                <w:rFonts w:cs="Arial"/>
                <w:color w:val="000000"/>
                <w:sz w:val="18"/>
                <w:szCs w:val="18"/>
                <w:vertAlign w:val="superscript"/>
              </w:rPr>
              <w:t>a</w:t>
            </w:r>
          </w:p>
        </w:tc>
        <w:tc>
          <w:tcPr>
            <w:tcW w:w="1014" w:type="dxa"/>
            <w:tcBorders>
              <w:top w:val="single" w:sz="16" w:space="0" w:color="000000"/>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w:t>
            </w:r>
          </w:p>
        </w:tc>
        <w:tc>
          <w:tcPr>
            <w:tcW w:w="1475" w:type="dxa"/>
            <w:tcBorders>
              <w:top w:val="single" w:sz="16" w:space="0" w:color="000000"/>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.000</w:t>
            </w:r>
          </w:p>
        </w:tc>
        <w:tc>
          <w:tcPr>
            <w:tcW w:w="1475" w:type="dxa"/>
            <w:tcBorders>
              <w:top w:val="single" w:sz="16" w:space="0" w:color="000000"/>
              <w:bottom w:val="nil"/>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c>
          <w:tcPr>
            <w:tcW w:w="1475" w:type="dxa"/>
            <w:tcBorders>
              <w:top w:val="single" w:sz="16" w:space="0" w:color="000000"/>
              <w:bottom w:val="nil"/>
              <w:right w:val="single" w:sz="16" w:space="0" w:color="000000"/>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r>
      <w:tr w:rsidR="001069EA" w:rsidRPr="00A961CA">
        <w:trPr>
          <w:cantSplit/>
        </w:trPr>
        <w:tc>
          <w:tcPr>
            <w:tcW w:w="2459" w:type="dxa"/>
            <w:tcBorders>
              <w:top w:val="nil"/>
              <w:left w:val="single" w:sz="16" w:space="0" w:color="000000"/>
              <w:bottom w:val="nil"/>
              <w:right w:val="single" w:sz="16" w:space="0" w:color="000000"/>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Continuity Correction</w:t>
            </w:r>
            <w:r w:rsidRPr="00A961CA">
              <w:rPr>
                <w:rFonts w:cs="Arial"/>
                <w:color w:val="000000"/>
                <w:sz w:val="18"/>
                <w:szCs w:val="18"/>
                <w:vertAlign w:val="superscript"/>
              </w:rPr>
              <w:t>b</w:t>
            </w:r>
          </w:p>
        </w:tc>
        <w:tc>
          <w:tcPr>
            <w:tcW w:w="1076" w:type="dxa"/>
            <w:tcBorders>
              <w:top w:val="nil"/>
              <w:left w:val="single" w:sz="16" w:space="0" w:color="000000"/>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167.266</w:t>
            </w:r>
          </w:p>
        </w:tc>
        <w:tc>
          <w:tcPr>
            <w:tcW w:w="1014"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w:t>
            </w:r>
          </w:p>
        </w:tc>
        <w:tc>
          <w:tcPr>
            <w:tcW w:w="1475"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.000</w:t>
            </w:r>
          </w:p>
        </w:tc>
        <w:tc>
          <w:tcPr>
            <w:tcW w:w="1475"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c>
          <w:tcPr>
            <w:tcW w:w="1475" w:type="dxa"/>
            <w:tcBorders>
              <w:top w:val="nil"/>
              <w:bottom w:val="nil"/>
              <w:right w:val="single" w:sz="16" w:space="0" w:color="000000"/>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r>
      <w:tr w:rsidR="001069EA" w:rsidRPr="00A961CA">
        <w:trPr>
          <w:cantSplit/>
        </w:trPr>
        <w:tc>
          <w:tcPr>
            <w:tcW w:w="2459" w:type="dxa"/>
            <w:tcBorders>
              <w:top w:val="nil"/>
              <w:left w:val="single" w:sz="16" w:space="0" w:color="000000"/>
              <w:bottom w:val="nil"/>
              <w:right w:val="single" w:sz="16" w:space="0" w:color="000000"/>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Likelihood Ratio</w:t>
            </w:r>
          </w:p>
        </w:tc>
        <w:tc>
          <w:tcPr>
            <w:tcW w:w="1076" w:type="dxa"/>
            <w:tcBorders>
              <w:top w:val="nil"/>
              <w:left w:val="single" w:sz="16" w:space="0" w:color="000000"/>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187.869</w:t>
            </w:r>
          </w:p>
        </w:tc>
        <w:tc>
          <w:tcPr>
            <w:tcW w:w="1014"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w:t>
            </w:r>
          </w:p>
        </w:tc>
        <w:tc>
          <w:tcPr>
            <w:tcW w:w="1475"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.000</w:t>
            </w:r>
          </w:p>
        </w:tc>
        <w:tc>
          <w:tcPr>
            <w:tcW w:w="1475"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c>
          <w:tcPr>
            <w:tcW w:w="1475" w:type="dxa"/>
            <w:tcBorders>
              <w:top w:val="nil"/>
              <w:bottom w:val="nil"/>
              <w:right w:val="single" w:sz="16" w:space="0" w:color="000000"/>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r>
      <w:tr w:rsidR="001069EA" w:rsidRPr="00A961CA">
        <w:trPr>
          <w:cantSplit/>
        </w:trPr>
        <w:tc>
          <w:tcPr>
            <w:tcW w:w="2459" w:type="dxa"/>
            <w:tcBorders>
              <w:top w:val="nil"/>
              <w:left w:val="single" w:sz="16" w:space="0" w:color="000000"/>
              <w:bottom w:val="nil"/>
              <w:right w:val="single" w:sz="16" w:space="0" w:color="000000"/>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Fisher's Exact Test</w:t>
            </w:r>
          </w:p>
        </w:tc>
        <w:tc>
          <w:tcPr>
            <w:tcW w:w="1076" w:type="dxa"/>
            <w:tcBorders>
              <w:top w:val="nil"/>
              <w:left w:val="single" w:sz="16" w:space="0" w:color="000000"/>
              <w:bottom w:val="nil"/>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c>
          <w:tcPr>
            <w:tcW w:w="1014"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c>
          <w:tcPr>
            <w:tcW w:w="1475"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c>
          <w:tcPr>
            <w:tcW w:w="1475"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.000</w:t>
            </w:r>
          </w:p>
        </w:tc>
        <w:tc>
          <w:tcPr>
            <w:tcW w:w="1475" w:type="dxa"/>
            <w:tcBorders>
              <w:top w:val="nil"/>
              <w:bottom w:val="nil"/>
              <w:right w:val="single" w:sz="16" w:space="0" w:color="000000"/>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.000</w:t>
            </w:r>
          </w:p>
        </w:tc>
      </w:tr>
      <w:tr w:rsidR="001069EA" w:rsidRPr="00A961CA">
        <w:trPr>
          <w:cantSplit/>
        </w:trPr>
        <w:tc>
          <w:tcPr>
            <w:tcW w:w="2459" w:type="dxa"/>
            <w:tcBorders>
              <w:top w:val="nil"/>
              <w:left w:val="single" w:sz="16" w:space="0" w:color="000000"/>
              <w:bottom w:val="nil"/>
              <w:right w:val="single" w:sz="16" w:space="0" w:color="000000"/>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Linear-by-Linear Association</w:t>
            </w:r>
          </w:p>
        </w:tc>
        <w:tc>
          <w:tcPr>
            <w:tcW w:w="1076" w:type="dxa"/>
            <w:tcBorders>
              <w:top w:val="nil"/>
              <w:left w:val="single" w:sz="16" w:space="0" w:color="000000"/>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170.259</w:t>
            </w:r>
          </w:p>
        </w:tc>
        <w:tc>
          <w:tcPr>
            <w:tcW w:w="1014"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1</w:t>
            </w:r>
          </w:p>
        </w:tc>
        <w:tc>
          <w:tcPr>
            <w:tcW w:w="1475"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.000</w:t>
            </w:r>
          </w:p>
        </w:tc>
        <w:tc>
          <w:tcPr>
            <w:tcW w:w="1475" w:type="dxa"/>
            <w:tcBorders>
              <w:top w:val="nil"/>
              <w:bottom w:val="nil"/>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c>
          <w:tcPr>
            <w:tcW w:w="1475" w:type="dxa"/>
            <w:tcBorders>
              <w:top w:val="nil"/>
              <w:bottom w:val="nil"/>
              <w:right w:val="single" w:sz="16" w:space="0" w:color="000000"/>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r>
      <w:tr w:rsidR="001069EA" w:rsidRPr="00A961CA">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N of Valid Cases</w:t>
            </w:r>
          </w:p>
        </w:tc>
        <w:tc>
          <w:tcPr>
            <w:tcW w:w="1076" w:type="dxa"/>
            <w:tcBorders>
              <w:top w:val="nil"/>
              <w:left w:val="single" w:sz="16" w:space="0" w:color="000000"/>
              <w:bottom w:val="single" w:sz="16" w:space="0" w:color="000000"/>
            </w:tcBorders>
            <w:shd w:val="clear" w:color="auto" w:fill="FFFFFF"/>
            <w:vAlign w:val="center"/>
          </w:tcPr>
          <w:p w:rsidR="001069EA" w:rsidRPr="00A961CA" w:rsidRDefault="001069EA" w:rsidP="001069EA">
            <w:pPr>
              <w:autoSpaceDE w:val="0"/>
              <w:autoSpaceDN w:val="0"/>
              <w:adjustRightInd w:val="0"/>
              <w:spacing w:after="0" w:line="320" w:lineRule="atLeast"/>
              <w:ind w:left="60" w:right="60"/>
              <w:jc w:val="right"/>
              <w:rPr>
                <w:rFonts w:cs="Arial"/>
                <w:color w:val="000000"/>
                <w:sz w:val="18"/>
                <w:szCs w:val="18"/>
              </w:rPr>
            </w:pPr>
            <w:r w:rsidRPr="00A961CA">
              <w:rPr>
                <w:rFonts w:cs="Arial"/>
                <w:color w:val="000000"/>
                <w:sz w:val="18"/>
                <w:szCs w:val="18"/>
              </w:rPr>
              <w:t>308</w:t>
            </w:r>
          </w:p>
        </w:tc>
        <w:tc>
          <w:tcPr>
            <w:tcW w:w="1014" w:type="dxa"/>
            <w:tcBorders>
              <w:top w:val="nil"/>
              <w:bottom w:val="single" w:sz="16" w:space="0" w:color="000000"/>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c>
          <w:tcPr>
            <w:tcW w:w="1475" w:type="dxa"/>
            <w:tcBorders>
              <w:top w:val="nil"/>
              <w:bottom w:val="single" w:sz="16" w:space="0" w:color="000000"/>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c>
          <w:tcPr>
            <w:tcW w:w="1475" w:type="dxa"/>
            <w:tcBorders>
              <w:top w:val="nil"/>
              <w:bottom w:val="single" w:sz="16" w:space="0" w:color="000000"/>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rsidR="001069EA" w:rsidRPr="00A961CA" w:rsidRDefault="001069EA" w:rsidP="001069EA">
            <w:pPr>
              <w:autoSpaceDE w:val="0"/>
              <w:autoSpaceDN w:val="0"/>
              <w:adjustRightInd w:val="0"/>
              <w:spacing w:after="0" w:line="240" w:lineRule="auto"/>
              <w:rPr>
                <w:rFonts w:cs="Times New Roman"/>
                <w:sz w:val="24"/>
                <w:szCs w:val="24"/>
              </w:rPr>
            </w:pPr>
          </w:p>
        </w:tc>
      </w:tr>
      <w:tr w:rsidR="001069EA" w:rsidRPr="00A961CA">
        <w:trPr>
          <w:cantSplit/>
        </w:trPr>
        <w:tc>
          <w:tcPr>
            <w:tcW w:w="8974" w:type="dxa"/>
            <w:gridSpan w:val="6"/>
            <w:tcBorders>
              <w:top w:val="nil"/>
              <w:left w:val="nil"/>
              <w:bottom w:val="nil"/>
              <w:right w:val="nil"/>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a. 0 cells (.0%) have expected count less than 5. The minimum expected count is 28.11.</w:t>
            </w:r>
          </w:p>
        </w:tc>
      </w:tr>
      <w:tr w:rsidR="001069EA" w:rsidRPr="00A961CA">
        <w:trPr>
          <w:cantSplit/>
        </w:trPr>
        <w:tc>
          <w:tcPr>
            <w:tcW w:w="8974" w:type="dxa"/>
            <w:gridSpan w:val="6"/>
            <w:tcBorders>
              <w:top w:val="nil"/>
              <w:left w:val="nil"/>
              <w:bottom w:val="nil"/>
              <w:right w:val="nil"/>
            </w:tcBorders>
            <w:shd w:val="clear" w:color="auto" w:fill="FFFFFF"/>
          </w:tcPr>
          <w:p w:rsidR="001069EA" w:rsidRPr="00A961CA" w:rsidRDefault="001069EA" w:rsidP="001069EA">
            <w:pPr>
              <w:autoSpaceDE w:val="0"/>
              <w:autoSpaceDN w:val="0"/>
              <w:adjustRightInd w:val="0"/>
              <w:spacing w:after="0" w:line="320" w:lineRule="atLeast"/>
              <w:ind w:left="60" w:right="60"/>
              <w:rPr>
                <w:rFonts w:cs="Arial"/>
                <w:color w:val="000000"/>
                <w:sz w:val="18"/>
                <w:szCs w:val="18"/>
              </w:rPr>
            </w:pPr>
            <w:r w:rsidRPr="00A961CA">
              <w:rPr>
                <w:rFonts w:cs="Arial"/>
                <w:color w:val="000000"/>
                <w:sz w:val="18"/>
                <w:szCs w:val="18"/>
              </w:rPr>
              <w:t>b. Computed only for a 2x2 table</w:t>
            </w:r>
          </w:p>
        </w:tc>
      </w:tr>
    </w:tbl>
    <w:p w:rsidR="001069EA" w:rsidRPr="00A961CA" w:rsidRDefault="001069EA" w:rsidP="001069EA">
      <w:pPr>
        <w:autoSpaceDE w:val="0"/>
        <w:autoSpaceDN w:val="0"/>
        <w:adjustRightInd w:val="0"/>
        <w:spacing w:after="0" w:line="400" w:lineRule="atLeast"/>
        <w:rPr>
          <w:rFonts w:cs="Times New Roman"/>
          <w:sz w:val="24"/>
          <w:szCs w:val="24"/>
        </w:rPr>
      </w:pPr>
    </w:p>
    <w:p w:rsidR="00AC38FC" w:rsidRPr="00A961CA" w:rsidRDefault="00A42A03" w:rsidP="00AC38FC">
      <w:pPr>
        <w:rPr>
          <w:rFonts w:cstheme="majorBidi"/>
          <w:b/>
          <w:bCs/>
          <w:sz w:val="28"/>
          <w:szCs w:val="28"/>
        </w:rPr>
      </w:pPr>
      <w:r w:rsidRPr="00A961CA">
        <w:rPr>
          <w:rFonts w:cstheme="majorBidi"/>
          <w:b/>
          <w:bCs/>
          <w:sz w:val="28"/>
          <w:szCs w:val="28"/>
        </w:rPr>
        <w:t>The most common colonoscopi</w:t>
      </w:r>
      <w:r w:rsidR="00AC38FC" w:rsidRPr="00A961CA">
        <w:rPr>
          <w:rFonts w:cstheme="majorBidi"/>
          <w:b/>
          <w:bCs/>
          <w:sz w:val="28"/>
          <w:szCs w:val="28"/>
        </w:rPr>
        <w:t>c findings were</w:t>
      </w:r>
      <w:r w:rsidRPr="00A961CA">
        <w:rPr>
          <w:rFonts w:cstheme="majorBidi"/>
          <w:b/>
          <w:bCs/>
          <w:sz w:val="28"/>
          <w:szCs w:val="28"/>
        </w:rPr>
        <w:t xml:space="preserve"> hemorrhoids. Color</w:t>
      </w:r>
      <w:r w:rsidR="00AC38FC" w:rsidRPr="00A961CA">
        <w:rPr>
          <w:rFonts w:cstheme="majorBidi"/>
          <w:b/>
          <w:bCs/>
          <w:sz w:val="28"/>
          <w:szCs w:val="28"/>
        </w:rPr>
        <w:t>ectal cancer was found in only 3 (2.6%) of the 114</w:t>
      </w:r>
      <w:r w:rsidRPr="00A961CA">
        <w:rPr>
          <w:rFonts w:cstheme="majorBidi"/>
          <w:b/>
          <w:bCs/>
          <w:sz w:val="28"/>
          <w:szCs w:val="28"/>
        </w:rPr>
        <w:t xml:space="preserve"> patients presenting with iron-deficiency anemia.</w:t>
      </w:r>
      <w:r w:rsidR="007F69CB" w:rsidRPr="00A961CA">
        <w:rPr>
          <w:rFonts w:cstheme="majorBidi"/>
          <w:b/>
          <w:bCs/>
          <w:sz w:val="28"/>
          <w:szCs w:val="28"/>
        </w:rPr>
        <w:t xml:space="preserve">44 were male and 66 were female </w:t>
      </w:r>
    </w:p>
    <w:tbl>
      <w:tblPr>
        <w:tblStyle w:val="LightShading"/>
        <w:tblW w:w="0" w:type="auto"/>
        <w:tblLook w:val="04A0" w:firstRow="1" w:lastRow="0" w:firstColumn="1" w:lastColumn="0" w:noHBand="0" w:noVBand="1"/>
      </w:tblPr>
      <w:tblGrid>
        <w:gridCol w:w="3192"/>
        <w:gridCol w:w="2161"/>
        <w:gridCol w:w="2410"/>
      </w:tblGrid>
      <w:tr w:rsidR="007F69CB" w:rsidRPr="00A961CA" w:rsidTr="00E15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7F69CB" w:rsidP="00E15C6E">
            <w:pPr>
              <w:jc w:val="center"/>
              <w:rPr>
                <w:rFonts w:cstheme="majorBidi"/>
                <w:b w:val="0"/>
                <w:bCs w:val="0"/>
                <w:i/>
                <w:iCs/>
                <w:color w:val="FF0000"/>
                <w:sz w:val="28"/>
                <w:szCs w:val="28"/>
              </w:rPr>
            </w:pPr>
            <w:r w:rsidRPr="00A961CA">
              <w:rPr>
                <w:rFonts w:cstheme="majorBidi"/>
                <w:b w:val="0"/>
                <w:bCs w:val="0"/>
                <w:i/>
                <w:iCs/>
                <w:color w:val="FF0000"/>
                <w:sz w:val="28"/>
                <w:szCs w:val="28"/>
              </w:rPr>
              <w:t>Colonoscopical findings</w:t>
            </w:r>
          </w:p>
        </w:tc>
        <w:tc>
          <w:tcPr>
            <w:tcW w:w="2161" w:type="dxa"/>
          </w:tcPr>
          <w:p w:rsidR="007F69CB" w:rsidRPr="00A961CA" w:rsidRDefault="007F69CB" w:rsidP="00E15C6E">
            <w:pPr>
              <w:jc w:val="center"/>
              <w:cnfStyle w:val="100000000000" w:firstRow="1" w:lastRow="0" w:firstColumn="0" w:lastColumn="0" w:oddVBand="0" w:evenVBand="0" w:oddHBand="0" w:evenHBand="0" w:firstRowFirstColumn="0" w:firstRowLastColumn="0" w:lastRowFirstColumn="0" w:lastRowLastColumn="0"/>
              <w:rPr>
                <w:rFonts w:cstheme="majorBidi"/>
                <w:b w:val="0"/>
                <w:bCs w:val="0"/>
                <w:i/>
                <w:iCs/>
                <w:color w:val="FF0000"/>
                <w:sz w:val="28"/>
                <w:szCs w:val="28"/>
              </w:rPr>
            </w:pPr>
            <w:r w:rsidRPr="00A961CA">
              <w:rPr>
                <w:rFonts w:cstheme="majorBidi"/>
                <w:b w:val="0"/>
                <w:bCs w:val="0"/>
                <w:i/>
                <w:iCs/>
                <w:color w:val="FF0000"/>
                <w:sz w:val="28"/>
                <w:szCs w:val="28"/>
              </w:rPr>
              <w:t>Frequency</w:t>
            </w:r>
          </w:p>
        </w:tc>
        <w:tc>
          <w:tcPr>
            <w:tcW w:w="2410" w:type="dxa"/>
          </w:tcPr>
          <w:p w:rsidR="007F69CB" w:rsidRPr="00A961CA" w:rsidRDefault="007F69CB" w:rsidP="00E15C6E">
            <w:pPr>
              <w:jc w:val="center"/>
              <w:cnfStyle w:val="100000000000" w:firstRow="1" w:lastRow="0" w:firstColumn="0" w:lastColumn="0" w:oddVBand="0" w:evenVBand="0" w:oddHBand="0" w:evenHBand="0" w:firstRowFirstColumn="0" w:firstRowLastColumn="0" w:lastRowFirstColumn="0" w:lastRowLastColumn="0"/>
              <w:rPr>
                <w:rFonts w:cstheme="majorBidi"/>
                <w:b w:val="0"/>
                <w:bCs w:val="0"/>
                <w:i/>
                <w:iCs/>
                <w:color w:val="FF0000"/>
                <w:sz w:val="28"/>
                <w:szCs w:val="28"/>
              </w:rPr>
            </w:pPr>
            <w:r w:rsidRPr="00A961CA">
              <w:rPr>
                <w:rFonts w:cstheme="majorBidi"/>
                <w:b w:val="0"/>
                <w:bCs w:val="0"/>
                <w:i/>
                <w:iCs/>
                <w:color w:val="FF0000"/>
                <w:sz w:val="28"/>
                <w:szCs w:val="28"/>
              </w:rPr>
              <w:t>Percentage</w:t>
            </w:r>
          </w:p>
        </w:tc>
      </w:tr>
      <w:tr w:rsidR="007F69CB" w:rsidRPr="00A961CA" w:rsidTr="00E1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7F69CB" w:rsidP="00E15C6E">
            <w:pPr>
              <w:jc w:val="center"/>
              <w:rPr>
                <w:rFonts w:cstheme="majorBidi"/>
                <w:sz w:val="28"/>
                <w:szCs w:val="28"/>
              </w:rPr>
            </w:pPr>
            <w:r w:rsidRPr="00A961CA">
              <w:rPr>
                <w:rFonts w:cstheme="majorBidi"/>
                <w:sz w:val="28"/>
                <w:szCs w:val="28"/>
              </w:rPr>
              <w:t>Normal</w:t>
            </w:r>
          </w:p>
        </w:tc>
        <w:tc>
          <w:tcPr>
            <w:tcW w:w="2161"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51</w:t>
            </w:r>
          </w:p>
        </w:tc>
        <w:tc>
          <w:tcPr>
            <w:tcW w:w="2410"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44.7 %</w:t>
            </w:r>
          </w:p>
        </w:tc>
      </w:tr>
      <w:tr w:rsidR="007F69CB" w:rsidRPr="00A961CA" w:rsidTr="00E15C6E">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7F69CB" w:rsidP="00E15C6E">
            <w:pPr>
              <w:jc w:val="center"/>
              <w:rPr>
                <w:rFonts w:cstheme="majorBidi"/>
                <w:sz w:val="28"/>
                <w:szCs w:val="28"/>
              </w:rPr>
            </w:pPr>
            <w:r w:rsidRPr="00A961CA">
              <w:rPr>
                <w:rFonts w:cstheme="majorBidi"/>
                <w:sz w:val="28"/>
                <w:szCs w:val="28"/>
              </w:rPr>
              <w:t>Hemorrhoid</w:t>
            </w:r>
          </w:p>
        </w:tc>
        <w:tc>
          <w:tcPr>
            <w:tcW w:w="2161"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31</w:t>
            </w:r>
          </w:p>
        </w:tc>
        <w:tc>
          <w:tcPr>
            <w:tcW w:w="2410"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27.2 %</w:t>
            </w:r>
          </w:p>
        </w:tc>
      </w:tr>
      <w:tr w:rsidR="007F69CB" w:rsidRPr="00A961CA" w:rsidTr="00E1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7F69CB" w:rsidP="00E15C6E">
            <w:pPr>
              <w:jc w:val="center"/>
              <w:rPr>
                <w:rFonts w:cstheme="majorBidi"/>
                <w:sz w:val="28"/>
                <w:szCs w:val="28"/>
              </w:rPr>
            </w:pPr>
            <w:r w:rsidRPr="00A961CA">
              <w:rPr>
                <w:rFonts w:cstheme="majorBidi"/>
                <w:sz w:val="28"/>
                <w:szCs w:val="28"/>
              </w:rPr>
              <w:t>Polyps</w:t>
            </w:r>
          </w:p>
        </w:tc>
        <w:tc>
          <w:tcPr>
            <w:tcW w:w="2161"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9</w:t>
            </w:r>
          </w:p>
        </w:tc>
        <w:tc>
          <w:tcPr>
            <w:tcW w:w="2410"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7.9 %</w:t>
            </w:r>
          </w:p>
        </w:tc>
      </w:tr>
      <w:tr w:rsidR="007F69CB" w:rsidRPr="00A961CA" w:rsidTr="00E15C6E">
        <w:trPr>
          <w:trHeight w:val="387"/>
        </w:trPr>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7F69CB" w:rsidP="00E15C6E">
            <w:pPr>
              <w:jc w:val="center"/>
              <w:rPr>
                <w:rFonts w:cstheme="majorBidi"/>
                <w:sz w:val="28"/>
                <w:szCs w:val="28"/>
              </w:rPr>
            </w:pPr>
            <w:r w:rsidRPr="00A961CA">
              <w:rPr>
                <w:rFonts w:cstheme="majorBidi"/>
                <w:sz w:val="28"/>
                <w:szCs w:val="28"/>
              </w:rPr>
              <w:t>Diverticulae</w:t>
            </w:r>
          </w:p>
        </w:tc>
        <w:tc>
          <w:tcPr>
            <w:tcW w:w="2161"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4</w:t>
            </w:r>
          </w:p>
        </w:tc>
        <w:tc>
          <w:tcPr>
            <w:tcW w:w="2410"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3.5 %</w:t>
            </w:r>
          </w:p>
        </w:tc>
      </w:tr>
      <w:tr w:rsidR="007F69CB" w:rsidRPr="00A961CA" w:rsidTr="00E1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7F69CB" w:rsidP="00E15C6E">
            <w:pPr>
              <w:jc w:val="center"/>
              <w:rPr>
                <w:rFonts w:cstheme="majorBidi"/>
                <w:sz w:val="28"/>
                <w:szCs w:val="28"/>
              </w:rPr>
            </w:pPr>
            <w:r w:rsidRPr="00A961CA">
              <w:rPr>
                <w:rFonts w:cstheme="majorBidi"/>
                <w:sz w:val="28"/>
                <w:szCs w:val="28"/>
              </w:rPr>
              <w:t>Colitis</w:t>
            </w:r>
          </w:p>
        </w:tc>
        <w:tc>
          <w:tcPr>
            <w:tcW w:w="2161"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3</w:t>
            </w:r>
          </w:p>
        </w:tc>
        <w:tc>
          <w:tcPr>
            <w:tcW w:w="2410"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2.6 %</w:t>
            </w:r>
          </w:p>
        </w:tc>
      </w:tr>
      <w:tr w:rsidR="007F69CB" w:rsidRPr="00A961CA" w:rsidTr="00E15C6E">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7F69CB" w:rsidP="00E15C6E">
            <w:pPr>
              <w:jc w:val="center"/>
              <w:rPr>
                <w:rFonts w:cstheme="majorBidi"/>
                <w:sz w:val="28"/>
                <w:szCs w:val="28"/>
              </w:rPr>
            </w:pPr>
            <w:r w:rsidRPr="00A961CA">
              <w:rPr>
                <w:rFonts w:cstheme="majorBidi"/>
                <w:sz w:val="28"/>
                <w:szCs w:val="28"/>
              </w:rPr>
              <w:t>Proctitis</w:t>
            </w:r>
          </w:p>
        </w:tc>
        <w:tc>
          <w:tcPr>
            <w:tcW w:w="2161"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1</w:t>
            </w:r>
          </w:p>
        </w:tc>
        <w:tc>
          <w:tcPr>
            <w:tcW w:w="2410"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0.9 %</w:t>
            </w:r>
          </w:p>
        </w:tc>
      </w:tr>
      <w:tr w:rsidR="007F69CB" w:rsidRPr="00A961CA" w:rsidTr="00E1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D51EB3" w:rsidP="00E15C6E">
            <w:pPr>
              <w:jc w:val="center"/>
              <w:rPr>
                <w:rFonts w:cstheme="majorBidi"/>
                <w:sz w:val="28"/>
                <w:szCs w:val="28"/>
              </w:rPr>
            </w:pPr>
            <w:r w:rsidRPr="00A961CA">
              <w:rPr>
                <w:rFonts w:cstheme="majorBidi"/>
                <w:sz w:val="28"/>
                <w:szCs w:val="28"/>
              </w:rPr>
              <w:t>Tumor</w:t>
            </w:r>
          </w:p>
        </w:tc>
        <w:tc>
          <w:tcPr>
            <w:tcW w:w="2161"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3</w:t>
            </w:r>
          </w:p>
        </w:tc>
        <w:tc>
          <w:tcPr>
            <w:tcW w:w="2410"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2.6 %</w:t>
            </w:r>
          </w:p>
        </w:tc>
      </w:tr>
      <w:tr w:rsidR="007F69CB" w:rsidRPr="00A961CA" w:rsidTr="00E15C6E">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D51EB3" w:rsidP="00E15C6E">
            <w:pPr>
              <w:jc w:val="center"/>
              <w:rPr>
                <w:rFonts w:cstheme="majorBidi"/>
                <w:sz w:val="28"/>
                <w:szCs w:val="28"/>
              </w:rPr>
            </w:pPr>
            <w:r w:rsidRPr="00A961CA">
              <w:rPr>
                <w:rFonts w:cstheme="majorBidi"/>
                <w:sz w:val="28"/>
                <w:szCs w:val="28"/>
              </w:rPr>
              <w:t>Polyps &amp;diverticulae</w:t>
            </w:r>
          </w:p>
        </w:tc>
        <w:tc>
          <w:tcPr>
            <w:tcW w:w="2161"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3</w:t>
            </w:r>
          </w:p>
        </w:tc>
        <w:tc>
          <w:tcPr>
            <w:tcW w:w="2410"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2.6 %</w:t>
            </w:r>
          </w:p>
        </w:tc>
      </w:tr>
      <w:tr w:rsidR="007F69CB" w:rsidRPr="00A961CA" w:rsidTr="00E1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D51EB3" w:rsidP="00E15C6E">
            <w:pPr>
              <w:jc w:val="center"/>
              <w:rPr>
                <w:rFonts w:cstheme="majorBidi"/>
                <w:sz w:val="28"/>
                <w:szCs w:val="28"/>
              </w:rPr>
            </w:pPr>
            <w:r w:rsidRPr="00A961CA">
              <w:rPr>
                <w:rFonts w:cstheme="majorBidi"/>
                <w:sz w:val="28"/>
                <w:szCs w:val="28"/>
              </w:rPr>
              <w:t>Colonic erosion</w:t>
            </w:r>
          </w:p>
        </w:tc>
        <w:tc>
          <w:tcPr>
            <w:tcW w:w="2161"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1</w:t>
            </w:r>
          </w:p>
        </w:tc>
        <w:tc>
          <w:tcPr>
            <w:tcW w:w="2410"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0.9 %</w:t>
            </w:r>
          </w:p>
        </w:tc>
      </w:tr>
      <w:tr w:rsidR="007F69CB" w:rsidRPr="00A961CA" w:rsidTr="00E15C6E">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D51EB3" w:rsidP="00E15C6E">
            <w:pPr>
              <w:jc w:val="center"/>
              <w:rPr>
                <w:rFonts w:cstheme="majorBidi"/>
                <w:sz w:val="28"/>
                <w:szCs w:val="28"/>
              </w:rPr>
            </w:pPr>
            <w:r w:rsidRPr="00A961CA">
              <w:rPr>
                <w:rFonts w:cstheme="majorBidi"/>
                <w:sz w:val="28"/>
                <w:szCs w:val="28"/>
              </w:rPr>
              <w:t>Aphthus ulcer</w:t>
            </w:r>
          </w:p>
        </w:tc>
        <w:tc>
          <w:tcPr>
            <w:tcW w:w="2161"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3</w:t>
            </w:r>
          </w:p>
        </w:tc>
        <w:tc>
          <w:tcPr>
            <w:tcW w:w="2410"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2.6 %</w:t>
            </w:r>
          </w:p>
        </w:tc>
      </w:tr>
      <w:tr w:rsidR="007F69CB" w:rsidRPr="00A961CA" w:rsidTr="00E1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D51EB3" w:rsidP="00E15C6E">
            <w:pPr>
              <w:jc w:val="center"/>
              <w:rPr>
                <w:rFonts w:cstheme="majorBidi"/>
                <w:sz w:val="28"/>
                <w:szCs w:val="28"/>
              </w:rPr>
            </w:pPr>
            <w:r w:rsidRPr="00A961CA">
              <w:rPr>
                <w:rFonts w:cstheme="majorBidi"/>
                <w:sz w:val="28"/>
                <w:szCs w:val="28"/>
              </w:rPr>
              <w:t>Angectasiae</w:t>
            </w:r>
          </w:p>
        </w:tc>
        <w:tc>
          <w:tcPr>
            <w:tcW w:w="2161"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2</w:t>
            </w:r>
          </w:p>
        </w:tc>
        <w:tc>
          <w:tcPr>
            <w:tcW w:w="2410"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1.8 %</w:t>
            </w:r>
          </w:p>
        </w:tc>
      </w:tr>
      <w:tr w:rsidR="007F69CB" w:rsidRPr="00A961CA" w:rsidTr="00E15C6E">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D51EB3" w:rsidP="00E15C6E">
            <w:pPr>
              <w:jc w:val="center"/>
              <w:rPr>
                <w:rFonts w:cstheme="majorBidi"/>
                <w:sz w:val="28"/>
                <w:szCs w:val="28"/>
              </w:rPr>
            </w:pPr>
            <w:r w:rsidRPr="00A961CA">
              <w:rPr>
                <w:rFonts w:cstheme="majorBidi"/>
                <w:sz w:val="28"/>
                <w:szCs w:val="28"/>
              </w:rPr>
              <w:t>Worms infestation</w:t>
            </w:r>
          </w:p>
        </w:tc>
        <w:tc>
          <w:tcPr>
            <w:tcW w:w="2161"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2</w:t>
            </w:r>
          </w:p>
        </w:tc>
        <w:tc>
          <w:tcPr>
            <w:tcW w:w="2410"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1.8 %</w:t>
            </w:r>
          </w:p>
        </w:tc>
      </w:tr>
      <w:tr w:rsidR="007F69CB" w:rsidRPr="00A961CA" w:rsidTr="00E1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D51EB3" w:rsidP="00E15C6E">
            <w:pPr>
              <w:jc w:val="center"/>
              <w:rPr>
                <w:rFonts w:cstheme="majorBidi"/>
                <w:sz w:val="28"/>
                <w:szCs w:val="28"/>
              </w:rPr>
            </w:pPr>
            <w:r w:rsidRPr="00A961CA">
              <w:rPr>
                <w:rFonts w:cstheme="majorBidi"/>
                <w:sz w:val="28"/>
                <w:szCs w:val="28"/>
              </w:rPr>
              <w:t>Anal fissure &amp; pile</w:t>
            </w:r>
          </w:p>
        </w:tc>
        <w:tc>
          <w:tcPr>
            <w:tcW w:w="2161"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1</w:t>
            </w:r>
          </w:p>
        </w:tc>
        <w:tc>
          <w:tcPr>
            <w:tcW w:w="2410" w:type="dxa"/>
          </w:tcPr>
          <w:p w:rsidR="007F69CB" w:rsidRPr="00A961CA" w:rsidRDefault="00D51EB3" w:rsidP="00E15C6E">
            <w:pPr>
              <w:jc w:val="center"/>
              <w:cnfStyle w:val="000000100000" w:firstRow="0" w:lastRow="0" w:firstColumn="0" w:lastColumn="0" w:oddVBand="0" w:evenVBand="0" w:oddHBand="1" w:evenHBand="0" w:firstRowFirstColumn="0" w:firstRowLastColumn="0" w:lastRowFirstColumn="0" w:lastRowLastColumn="0"/>
              <w:rPr>
                <w:rFonts w:cstheme="majorBidi"/>
                <w:b/>
                <w:bCs/>
                <w:sz w:val="28"/>
                <w:szCs w:val="28"/>
              </w:rPr>
            </w:pPr>
            <w:r w:rsidRPr="00A961CA">
              <w:rPr>
                <w:rFonts w:cstheme="majorBidi"/>
                <w:b/>
                <w:bCs/>
                <w:sz w:val="28"/>
                <w:szCs w:val="28"/>
              </w:rPr>
              <w:t>0.9 %</w:t>
            </w:r>
          </w:p>
        </w:tc>
      </w:tr>
      <w:tr w:rsidR="007F69CB" w:rsidRPr="00A961CA" w:rsidTr="00E15C6E">
        <w:tc>
          <w:tcPr>
            <w:cnfStyle w:val="001000000000" w:firstRow="0" w:lastRow="0" w:firstColumn="1" w:lastColumn="0" w:oddVBand="0" w:evenVBand="0" w:oddHBand="0" w:evenHBand="0" w:firstRowFirstColumn="0" w:firstRowLastColumn="0" w:lastRowFirstColumn="0" w:lastRowLastColumn="0"/>
            <w:tcW w:w="3192" w:type="dxa"/>
          </w:tcPr>
          <w:p w:rsidR="007F69CB" w:rsidRPr="00A961CA" w:rsidRDefault="00D51EB3" w:rsidP="00E15C6E">
            <w:pPr>
              <w:jc w:val="center"/>
              <w:rPr>
                <w:rFonts w:cstheme="majorBidi"/>
                <w:sz w:val="28"/>
                <w:szCs w:val="28"/>
              </w:rPr>
            </w:pPr>
            <w:r w:rsidRPr="00A961CA">
              <w:rPr>
                <w:rFonts w:cstheme="majorBidi"/>
                <w:sz w:val="28"/>
                <w:szCs w:val="28"/>
              </w:rPr>
              <w:t>Total</w:t>
            </w:r>
          </w:p>
        </w:tc>
        <w:tc>
          <w:tcPr>
            <w:tcW w:w="2161"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114</w:t>
            </w:r>
          </w:p>
        </w:tc>
        <w:tc>
          <w:tcPr>
            <w:tcW w:w="2410" w:type="dxa"/>
          </w:tcPr>
          <w:p w:rsidR="007F69CB" w:rsidRPr="00A961CA" w:rsidRDefault="00D51EB3" w:rsidP="00E15C6E">
            <w:pPr>
              <w:jc w:val="center"/>
              <w:cnfStyle w:val="000000000000" w:firstRow="0" w:lastRow="0" w:firstColumn="0" w:lastColumn="0" w:oddVBand="0" w:evenVBand="0" w:oddHBand="0" w:evenHBand="0" w:firstRowFirstColumn="0" w:firstRowLastColumn="0" w:lastRowFirstColumn="0" w:lastRowLastColumn="0"/>
              <w:rPr>
                <w:rFonts w:cstheme="majorBidi"/>
                <w:b/>
                <w:bCs/>
                <w:sz w:val="28"/>
                <w:szCs w:val="28"/>
              </w:rPr>
            </w:pPr>
            <w:r w:rsidRPr="00A961CA">
              <w:rPr>
                <w:rFonts w:cstheme="majorBidi"/>
                <w:b/>
                <w:bCs/>
                <w:sz w:val="28"/>
                <w:szCs w:val="28"/>
              </w:rPr>
              <w:t>100 %</w:t>
            </w:r>
          </w:p>
        </w:tc>
      </w:tr>
    </w:tbl>
    <w:p w:rsidR="007F69CB" w:rsidRPr="00A961CA" w:rsidRDefault="00E54DCD" w:rsidP="00AC38FC">
      <w:pPr>
        <w:rPr>
          <w:rFonts w:cstheme="majorBidi"/>
          <w:b/>
          <w:bCs/>
          <w:i/>
          <w:iCs/>
          <w:color w:val="17365D" w:themeColor="text2" w:themeShade="BF"/>
          <w:sz w:val="28"/>
          <w:szCs w:val="28"/>
        </w:rPr>
      </w:pPr>
      <w:r w:rsidRPr="00A961CA">
        <w:rPr>
          <w:rFonts w:cstheme="majorBidi"/>
          <w:b/>
          <w:bCs/>
          <w:i/>
          <w:iCs/>
          <w:color w:val="17365D" w:themeColor="text2" w:themeShade="BF"/>
          <w:sz w:val="28"/>
          <w:szCs w:val="28"/>
        </w:rPr>
        <w:t xml:space="preserve">Table </w:t>
      </w:r>
      <w:r w:rsidR="0056012D" w:rsidRPr="00A961CA">
        <w:rPr>
          <w:rFonts w:cstheme="majorBidi"/>
          <w:b/>
          <w:bCs/>
          <w:i/>
          <w:iCs/>
          <w:color w:val="17365D" w:themeColor="text2" w:themeShade="BF"/>
          <w:sz w:val="28"/>
          <w:szCs w:val="28"/>
        </w:rPr>
        <w:t xml:space="preserve"> 4 :the colonoscopical findings in  114 patients with IDA</w:t>
      </w:r>
    </w:p>
    <w:p w:rsidR="00AC38FC" w:rsidRPr="00A961CA" w:rsidRDefault="0056012D" w:rsidP="00AC38FC">
      <w:pPr>
        <w:autoSpaceDE w:val="0"/>
        <w:autoSpaceDN w:val="0"/>
        <w:adjustRightInd w:val="0"/>
        <w:spacing w:after="0" w:line="240" w:lineRule="auto"/>
        <w:rPr>
          <w:rFonts w:cs="Times New Roman"/>
          <w:sz w:val="24"/>
          <w:szCs w:val="24"/>
        </w:rPr>
      </w:pPr>
      <w:r w:rsidRPr="00A961CA">
        <w:rPr>
          <w:rFonts w:cs="Times New Roman"/>
          <w:noProof/>
          <w:sz w:val="24"/>
          <w:szCs w:val="24"/>
        </w:rPr>
        <w:lastRenderedPageBreak/>
        <w:drawing>
          <wp:inline distT="0" distB="0" distL="0" distR="0">
            <wp:extent cx="5600700" cy="4303513"/>
            <wp:effectExtent l="19050" t="0" r="0" b="0"/>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611752" cy="4312005"/>
                    </a:xfrm>
                    <a:prstGeom prst="rect">
                      <a:avLst/>
                    </a:prstGeom>
                    <a:noFill/>
                  </pic:spPr>
                </pic:pic>
              </a:graphicData>
            </a:graphic>
          </wp:inline>
        </w:drawing>
      </w:r>
      <w:r w:rsidRPr="00A961CA">
        <w:rPr>
          <w:rFonts w:cs="Times New Roman"/>
          <w:sz w:val="24"/>
          <w:szCs w:val="24"/>
        </w:rPr>
        <w:br w:type="textWrapping" w:clear="all"/>
      </w:r>
    </w:p>
    <w:p w:rsidR="00AC38FC" w:rsidRPr="00A961CA" w:rsidRDefault="001D1905" w:rsidP="00AC38FC">
      <w:pPr>
        <w:autoSpaceDE w:val="0"/>
        <w:autoSpaceDN w:val="0"/>
        <w:adjustRightInd w:val="0"/>
        <w:spacing w:after="0" w:line="240" w:lineRule="auto"/>
        <w:rPr>
          <w:rFonts w:cs="Times New Roman"/>
          <w:b/>
          <w:bCs/>
          <w:i/>
          <w:iCs/>
          <w:color w:val="17365D" w:themeColor="text2" w:themeShade="BF"/>
          <w:sz w:val="28"/>
          <w:szCs w:val="28"/>
        </w:rPr>
      </w:pPr>
      <w:r w:rsidRPr="00A961CA">
        <w:rPr>
          <w:rFonts w:cs="Times New Roman"/>
          <w:b/>
          <w:bCs/>
          <w:i/>
          <w:iCs/>
          <w:color w:val="17365D" w:themeColor="text2" w:themeShade="BF"/>
          <w:sz w:val="28"/>
          <w:szCs w:val="28"/>
        </w:rPr>
        <w:t>Figure 5 : the frequency of age groups among patient with IDA whom underwent colonoscopy</w:t>
      </w:r>
    </w:p>
    <w:p w:rsidR="00F05B9C" w:rsidRDefault="00F05B9C" w:rsidP="00AC38FC">
      <w:pPr>
        <w:autoSpaceDE w:val="0"/>
        <w:autoSpaceDN w:val="0"/>
        <w:adjustRightInd w:val="0"/>
        <w:spacing w:after="0" w:line="400" w:lineRule="atLeast"/>
        <w:rPr>
          <w:rFonts w:cs="Times New Roman"/>
          <w:sz w:val="24"/>
          <w:szCs w:val="24"/>
        </w:rPr>
      </w:pPr>
    </w:p>
    <w:p w:rsidR="00F05B9C" w:rsidRDefault="00F05B9C" w:rsidP="00AC38FC">
      <w:pPr>
        <w:autoSpaceDE w:val="0"/>
        <w:autoSpaceDN w:val="0"/>
        <w:adjustRightInd w:val="0"/>
        <w:spacing w:after="0" w:line="400" w:lineRule="atLeast"/>
        <w:rPr>
          <w:rFonts w:cs="Times New Roman"/>
          <w:sz w:val="24"/>
          <w:szCs w:val="24"/>
        </w:rPr>
      </w:pPr>
    </w:p>
    <w:p w:rsidR="00F05B9C" w:rsidRDefault="00F05B9C" w:rsidP="00AC38FC">
      <w:pPr>
        <w:autoSpaceDE w:val="0"/>
        <w:autoSpaceDN w:val="0"/>
        <w:adjustRightInd w:val="0"/>
        <w:spacing w:after="0" w:line="400" w:lineRule="atLeast"/>
        <w:rPr>
          <w:rFonts w:cs="Times New Roman"/>
          <w:sz w:val="24"/>
          <w:szCs w:val="24"/>
        </w:rPr>
      </w:pPr>
    </w:p>
    <w:p w:rsidR="00F05B9C" w:rsidRDefault="00F05B9C" w:rsidP="00AC38FC">
      <w:pPr>
        <w:autoSpaceDE w:val="0"/>
        <w:autoSpaceDN w:val="0"/>
        <w:adjustRightInd w:val="0"/>
        <w:spacing w:after="0" w:line="400" w:lineRule="atLeast"/>
        <w:rPr>
          <w:rFonts w:cs="Times New Roman"/>
          <w:sz w:val="24"/>
          <w:szCs w:val="24"/>
        </w:rPr>
      </w:pPr>
    </w:p>
    <w:p w:rsidR="00F05B9C" w:rsidRDefault="00F05B9C" w:rsidP="00AC38FC">
      <w:pPr>
        <w:autoSpaceDE w:val="0"/>
        <w:autoSpaceDN w:val="0"/>
        <w:adjustRightInd w:val="0"/>
        <w:spacing w:after="0" w:line="400" w:lineRule="atLeast"/>
        <w:rPr>
          <w:rFonts w:cs="Times New Roman"/>
          <w:sz w:val="24"/>
          <w:szCs w:val="24"/>
        </w:rPr>
      </w:pPr>
    </w:p>
    <w:p w:rsidR="00F05B9C" w:rsidRDefault="00F05B9C" w:rsidP="00AC38FC">
      <w:pPr>
        <w:autoSpaceDE w:val="0"/>
        <w:autoSpaceDN w:val="0"/>
        <w:adjustRightInd w:val="0"/>
        <w:spacing w:after="0" w:line="400" w:lineRule="atLeast"/>
        <w:rPr>
          <w:rFonts w:cs="Times New Roman"/>
          <w:sz w:val="24"/>
          <w:szCs w:val="24"/>
        </w:rPr>
      </w:pPr>
    </w:p>
    <w:p w:rsidR="00F05B9C" w:rsidRDefault="00F05B9C" w:rsidP="00AC38FC">
      <w:pPr>
        <w:autoSpaceDE w:val="0"/>
        <w:autoSpaceDN w:val="0"/>
        <w:adjustRightInd w:val="0"/>
        <w:spacing w:after="0" w:line="400" w:lineRule="atLeast"/>
        <w:rPr>
          <w:rFonts w:cs="Times New Roman"/>
          <w:sz w:val="24"/>
          <w:szCs w:val="24"/>
        </w:rPr>
      </w:pPr>
    </w:p>
    <w:p w:rsidR="00F05B9C" w:rsidRDefault="00F05B9C" w:rsidP="00AC38FC">
      <w:pPr>
        <w:autoSpaceDE w:val="0"/>
        <w:autoSpaceDN w:val="0"/>
        <w:adjustRightInd w:val="0"/>
        <w:spacing w:after="0" w:line="400" w:lineRule="atLeast"/>
        <w:rPr>
          <w:rFonts w:cs="Times New Roman"/>
          <w:sz w:val="24"/>
          <w:szCs w:val="24"/>
        </w:rPr>
      </w:pPr>
    </w:p>
    <w:p w:rsidR="00F05B9C" w:rsidRDefault="00F05B9C" w:rsidP="00AC38FC">
      <w:pPr>
        <w:autoSpaceDE w:val="0"/>
        <w:autoSpaceDN w:val="0"/>
        <w:adjustRightInd w:val="0"/>
        <w:spacing w:after="0" w:line="400" w:lineRule="atLeast"/>
        <w:rPr>
          <w:rFonts w:cs="Times New Roman"/>
          <w:sz w:val="24"/>
          <w:szCs w:val="24"/>
        </w:rPr>
      </w:pPr>
    </w:p>
    <w:p w:rsidR="00F05B9C" w:rsidRDefault="00F05B9C" w:rsidP="00AC38FC">
      <w:pPr>
        <w:autoSpaceDE w:val="0"/>
        <w:autoSpaceDN w:val="0"/>
        <w:adjustRightInd w:val="0"/>
        <w:spacing w:after="0" w:line="400" w:lineRule="atLeast"/>
        <w:rPr>
          <w:rFonts w:cs="Times New Roman"/>
          <w:sz w:val="24"/>
          <w:szCs w:val="24"/>
        </w:rPr>
      </w:pPr>
    </w:p>
    <w:p w:rsidR="00F05B9C" w:rsidRPr="00A961CA" w:rsidRDefault="00F05B9C" w:rsidP="00AC38FC">
      <w:pPr>
        <w:autoSpaceDE w:val="0"/>
        <w:autoSpaceDN w:val="0"/>
        <w:adjustRightInd w:val="0"/>
        <w:spacing w:after="0" w:line="400" w:lineRule="atLeast"/>
        <w:rPr>
          <w:rFonts w:cs="Times New Roman"/>
          <w:sz w:val="24"/>
          <w:szCs w:val="24"/>
        </w:rPr>
      </w:pPr>
    </w:p>
    <w:p w:rsidR="00AC38FC" w:rsidRPr="00A961CA" w:rsidRDefault="0056012D" w:rsidP="00A42A03">
      <w:pPr>
        <w:rPr>
          <w:sz w:val="28"/>
          <w:szCs w:val="28"/>
        </w:rPr>
      </w:pPr>
      <w:r w:rsidRPr="00A961CA">
        <w:rPr>
          <w:noProof/>
          <w:sz w:val="28"/>
          <w:szCs w:val="28"/>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217170</wp:posOffset>
            </wp:positionV>
            <wp:extent cx="4716145" cy="3181350"/>
            <wp:effectExtent l="19050" t="0" r="8255" b="0"/>
            <wp:wrapSquare wrapText="bothSides"/>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4716145" cy="3181350"/>
                    </a:xfrm>
                    <a:prstGeom prst="rect">
                      <a:avLst/>
                    </a:prstGeom>
                    <a:noFill/>
                    <a:ln w="9525">
                      <a:noFill/>
                      <a:miter lim="800000"/>
                      <a:headEnd/>
                      <a:tailEnd/>
                    </a:ln>
                  </pic:spPr>
                </pic:pic>
              </a:graphicData>
            </a:graphic>
          </wp:anchor>
        </w:drawing>
      </w:r>
    </w:p>
    <w:p w:rsidR="00AC38FC" w:rsidRPr="00A961CA" w:rsidRDefault="00AC38FC" w:rsidP="00A42A03">
      <w:pPr>
        <w:rPr>
          <w:sz w:val="28"/>
          <w:szCs w:val="28"/>
        </w:rPr>
      </w:pPr>
    </w:p>
    <w:p w:rsidR="00A42A03" w:rsidRPr="00A961CA" w:rsidRDefault="00A42A03" w:rsidP="00A42A03">
      <w:pPr>
        <w:rPr>
          <w:sz w:val="28"/>
          <w:szCs w:val="28"/>
        </w:rPr>
      </w:pPr>
    </w:p>
    <w:p w:rsidR="0056012D" w:rsidRPr="00A961CA" w:rsidRDefault="0056012D" w:rsidP="002450DF">
      <w:pPr>
        <w:rPr>
          <w:b/>
          <w:bCs/>
          <w:i/>
          <w:iCs/>
          <w:color w:val="C00000"/>
          <w:sz w:val="40"/>
          <w:szCs w:val="40"/>
        </w:rPr>
      </w:pPr>
    </w:p>
    <w:p w:rsidR="0056012D" w:rsidRPr="00A961CA" w:rsidRDefault="0056012D" w:rsidP="002450DF">
      <w:pPr>
        <w:rPr>
          <w:b/>
          <w:bCs/>
          <w:i/>
          <w:iCs/>
          <w:color w:val="C00000"/>
          <w:sz w:val="40"/>
          <w:szCs w:val="40"/>
        </w:rPr>
      </w:pPr>
    </w:p>
    <w:p w:rsidR="0056012D" w:rsidRPr="00A961CA" w:rsidRDefault="0056012D" w:rsidP="002450DF">
      <w:pPr>
        <w:rPr>
          <w:b/>
          <w:bCs/>
          <w:i/>
          <w:iCs/>
          <w:color w:val="C00000"/>
          <w:sz w:val="40"/>
          <w:szCs w:val="40"/>
        </w:rPr>
      </w:pPr>
    </w:p>
    <w:p w:rsidR="00A961CA" w:rsidRDefault="00A961CA" w:rsidP="002450DF">
      <w:pPr>
        <w:rPr>
          <w:b/>
          <w:bCs/>
          <w:i/>
          <w:iCs/>
          <w:color w:val="17365D" w:themeColor="text2" w:themeShade="BF"/>
          <w:sz w:val="28"/>
          <w:szCs w:val="28"/>
        </w:rPr>
      </w:pPr>
    </w:p>
    <w:p w:rsidR="00A961CA" w:rsidRDefault="00A961CA" w:rsidP="002450DF">
      <w:pPr>
        <w:rPr>
          <w:b/>
          <w:bCs/>
          <w:i/>
          <w:iCs/>
          <w:color w:val="17365D" w:themeColor="text2" w:themeShade="BF"/>
          <w:sz w:val="28"/>
          <w:szCs w:val="28"/>
        </w:rPr>
      </w:pPr>
    </w:p>
    <w:p w:rsidR="00F05B9C" w:rsidRDefault="00F05B9C" w:rsidP="002450DF">
      <w:pPr>
        <w:rPr>
          <w:b/>
          <w:bCs/>
          <w:i/>
          <w:iCs/>
          <w:color w:val="17365D" w:themeColor="text2" w:themeShade="BF"/>
          <w:sz w:val="28"/>
          <w:szCs w:val="28"/>
        </w:rPr>
      </w:pPr>
    </w:p>
    <w:p w:rsidR="001D1905" w:rsidRPr="00A961CA" w:rsidRDefault="001D1905" w:rsidP="002450DF">
      <w:pPr>
        <w:rPr>
          <w:b/>
          <w:bCs/>
          <w:i/>
          <w:iCs/>
          <w:color w:val="17365D" w:themeColor="text2" w:themeShade="BF"/>
          <w:sz w:val="28"/>
          <w:szCs w:val="28"/>
        </w:rPr>
      </w:pPr>
      <w:r w:rsidRPr="00A961CA">
        <w:rPr>
          <w:b/>
          <w:bCs/>
          <w:i/>
          <w:iCs/>
          <w:color w:val="17365D" w:themeColor="text2" w:themeShade="BF"/>
          <w:sz w:val="28"/>
          <w:szCs w:val="28"/>
        </w:rPr>
        <w:t>Figure 6 :</w:t>
      </w:r>
      <w:r w:rsidR="0091026E" w:rsidRPr="00A961CA">
        <w:rPr>
          <w:b/>
          <w:bCs/>
          <w:i/>
          <w:iCs/>
          <w:color w:val="17365D" w:themeColor="text2" w:themeShade="BF"/>
          <w:sz w:val="28"/>
          <w:szCs w:val="28"/>
        </w:rPr>
        <w:t>the frequ</w:t>
      </w:r>
      <w:r w:rsidR="00B16012" w:rsidRPr="00A961CA">
        <w:rPr>
          <w:b/>
          <w:bCs/>
          <w:i/>
          <w:iCs/>
          <w:color w:val="17365D" w:themeColor="text2" w:themeShade="BF"/>
          <w:sz w:val="28"/>
          <w:szCs w:val="28"/>
        </w:rPr>
        <w:t>ency of colonoscopic  findings in IDA patients</w:t>
      </w:r>
    </w:p>
    <w:p w:rsidR="0056012D" w:rsidRPr="00A961CA" w:rsidRDefault="0056012D" w:rsidP="002450DF">
      <w:pPr>
        <w:rPr>
          <w:b/>
          <w:bCs/>
          <w:i/>
          <w:iCs/>
          <w:color w:val="C00000"/>
          <w:sz w:val="40"/>
          <w:szCs w:val="40"/>
        </w:rPr>
      </w:pPr>
    </w:p>
    <w:p w:rsidR="000D3FA2" w:rsidRPr="00A961CA" w:rsidRDefault="000D3FA2" w:rsidP="002450DF">
      <w:pPr>
        <w:rPr>
          <w:rFonts w:asciiTheme="majorBidi" w:hAnsiTheme="majorBidi" w:cstheme="majorBidi"/>
          <w:b/>
          <w:bCs/>
          <w:color w:val="C00000"/>
          <w:sz w:val="40"/>
          <w:szCs w:val="40"/>
        </w:rPr>
      </w:pPr>
      <w:r w:rsidRPr="00A961CA">
        <w:rPr>
          <w:rFonts w:asciiTheme="majorBidi" w:hAnsiTheme="majorBidi" w:cstheme="majorBidi"/>
          <w:b/>
          <w:bCs/>
          <w:color w:val="C00000"/>
          <w:sz w:val="40"/>
          <w:szCs w:val="40"/>
        </w:rPr>
        <w:t>Discussion</w:t>
      </w:r>
    </w:p>
    <w:p w:rsidR="00DB6598" w:rsidRPr="00A961CA" w:rsidRDefault="00142BE5" w:rsidP="007101FC">
      <w:pPr>
        <w:rPr>
          <w:rFonts w:cstheme="majorBidi"/>
          <w:b/>
          <w:bCs/>
          <w:sz w:val="28"/>
          <w:szCs w:val="28"/>
        </w:rPr>
      </w:pPr>
      <w:r w:rsidRPr="00A961CA">
        <w:rPr>
          <w:rFonts w:cstheme="majorBidi"/>
          <w:b/>
          <w:bCs/>
          <w:sz w:val="28"/>
          <w:szCs w:val="28"/>
        </w:rPr>
        <w:t xml:space="preserve">Celiac Disease may be a surprisingly frequent cause of IDA, which requires duodenal biopsyto confirm the diagnosis. The finding of endoscopiclesions such as esophagitis and gastritis,that may otherwise explain IDA should notpreclude small bowel biopsy and thus delay the discovery of CD </w:t>
      </w:r>
      <w:r w:rsidRPr="00A961CA">
        <w:rPr>
          <w:rStyle w:val="FootnoteReference"/>
          <w:rFonts w:cstheme="majorBidi"/>
          <w:b/>
          <w:bCs/>
          <w:sz w:val="28"/>
          <w:szCs w:val="28"/>
        </w:rPr>
        <w:footnoteReference w:id="17"/>
      </w:r>
      <w:r w:rsidR="00C9604A" w:rsidRPr="00A961CA">
        <w:rPr>
          <w:rFonts w:cstheme="majorBidi"/>
          <w:b/>
          <w:bCs/>
          <w:sz w:val="28"/>
          <w:szCs w:val="28"/>
        </w:rPr>
        <w:t>.</w:t>
      </w:r>
      <w:r w:rsidR="000A54FF" w:rsidRPr="00A961CA">
        <w:rPr>
          <w:rFonts w:cstheme="majorBidi"/>
          <w:b/>
          <w:bCs/>
          <w:sz w:val="28"/>
          <w:szCs w:val="28"/>
        </w:rPr>
        <w:t xml:space="preserve">Guidelines from the British Societyof Gastroenterology recommend that duodenalbiopsies should be taken during endoscopy if no </w:t>
      </w:r>
      <w:r w:rsidR="00413A91" w:rsidRPr="00A961CA">
        <w:rPr>
          <w:rFonts w:cstheme="majorBidi"/>
          <w:b/>
          <w:bCs/>
          <w:sz w:val="28"/>
          <w:szCs w:val="28"/>
        </w:rPr>
        <w:t xml:space="preserve"> obvious cause </w:t>
      </w:r>
      <w:r w:rsidR="000A54FF" w:rsidRPr="00A961CA">
        <w:rPr>
          <w:rFonts w:cstheme="majorBidi"/>
          <w:b/>
          <w:bCs/>
          <w:sz w:val="28"/>
          <w:szCs w:val="28"/>
        </w:rPr>
        <w:t xml:space="preserve"> of IDA can be found </w:t>
      </w:r>
      <w:r w:rsidR="000A54FF" w:rsidRPr="00A961CA">
        <w:rPr>
          <w:rStyle w:val="FootnoteReference"/>
          <w:rFonts w:cstheme="majorBidi"/>
          <w:b/>
          <w:bCs/>
          <w:sz w:val="28"/>
          <w:szCs w:val="28"/>
        </w:rPr>
        <w:footnoteReference w:id="18"/>
      </w:r>
      <w:r w:rsidR="000A54FF" w:rsidRPr="00A961CA">
        <w:rPr>
          <w:rFonts w:cstheme="majorBidi"/>
          <w:b/>
          <w:bCs/>
          <w:sz w:val="28"/>
          <w:szCs w:val="28"/>
        </w:rPr>
        <w:t>.</w:t>
      </w:r>
      <w:r w:rsidR="00C9604A" w:rsidRPr="00A961CA">
        <w:rPr>
          <w:rFonts w:cstheme="majorBidi"/>
          <w:b/>
          <w:bCs/>
          <w:sz w:val="28"/>
          <w:szCs w:val="28"/>
        </w:rPr>
        <w:t>To increase the diagnostic yield of CD wehave obtained 4</w:t>
      </w:r>
      <w:r w:rsidR="007101FC" w:rsidRPr="00A961CA">
        <w:rPr>
          <w:rFonts w:cstheme="majorBidi"/>
          <w:b/>
          <w:bCs/>
          <w:sz w:val="28"/>
          <w:szCs w:val="28"/>
        </w:rPr>
        <w:t xml:space="preserve"> -6</w:t>
      </w:r>
      <w:r w:rsidR="00C9604A" w:rsidRPr="00A961CA">
        <w:rPr>
          <w:rFonts w:cstheme="majorBidi"/>
          <w:b/>
          <w:bCs/>
          <w:sz w:val="28"/>
          <w:szCs w:val="28"/>
        </w:rPr>
        <w:t xml:space="preserve"> biopsies from the second partof the duodenum, since histological changescan be patchy</w:t>
      </w:r>
      <w:r w:rsidR="00C9604A" w:rsidRPr="00A961CA">
        <w:rPr>
          <w:rStyle w:val="FootnoteReference"/>
          <w:rFonts w:cstheme="majorBidi"/>
          <w:b/>
          <w:bCs/>
          <w:sz w:val="28"/>
          <w:szCs w:val="28"/>
        </w:rPr>
        <w:footnoteReference w:id="19"/>
      </w:r>
      <w:r w:rsidR="00DB6598" w:rsidRPr="00A961CA">
        <w:rPr>
          <w:rFonts w:cstheme="majorBidi"/>
          <w:b/>
          <w:bCs/>
          <w:sz w:val="28"/>
          <w:szCs w:val="28"/>
        </w:rPr>
        <w:t xml:space="preserve">.However some </w:t>
      </w:r>
      <w:r w:rsidR="00DB6598" w:rsidRPr="00A961CA">
        <w:rPr>
          <w:rFonts w:cstheme="majorBidi"/>
          <w:b/>
          <w:bCs/>
          <w:sz w:val="28"/>
          <w:szCs w:val="28"/>
        </w:rPr>
        <w:lastRenderedPageBreak/>
        <w:t>patients withCD had biopsies which are not consistent withCD, the so-called potential CD. These patients</w:t>
      </w:r>
    </w:p>
    <w:p w:rsidR="008C6589" w:rsidRPr="00A961CA" w:rsidRDefault="00DB6598" w:rsidP="00CC3574">
      <w:pPr>
        <w:autoSpaceDE w:val="0"/>
        <w:autoSpaceDN w:val="0"/>
        <w:adjustRightInd w:val="0"/>
        <w:spacing w:after="0" w:line="240" w:lineRule="auto"/>
        <w:rPr>
          <w:rFonts w:cs="HelveticaLTStd-Bold"/>
          <w:b/>
          <w:bCs/>
          <w:sz w:val="18"/>
          <w:szCs w:val="18"/>
        </w:rPr>
      </w:pPr>
      <w:r w:rsidRPr="00A961CA">
        <w:rPr>
          <w:rFonts w:cstheme="majorBidi"/>
          <w:b/>
          <w:bCs/>
          <w:sz w:val="28"/>
          <w:szCs w:val="28"/>
        </w:rPr>
        <w:t>might show immunologic abnormalities characteristicfor the disorder (e.g., positive IgA orIgG to endomysium, and IgA or IgG tissuetrans</w:t>
      </w:r>
      <w:r w:rsidR="00F05B9C">
        <w:rPr>
          <w:rFonts w:cstheme="majorBidi"/>
          <w:b/>
          <w:bCs/>
          <w:sz w:val="28"/>
          <w:szCs w:val="28"/>
        </w:rPr>
        <w:t xml:space="preserve"> </w:t>
      </w:r>
      <w:r w:rsidRPr="00A961CA">
        <w:rPr>
          <w:rFonts w:cstheme="majorBidi"/>
          <w:b/>
          <w:bCs/>
          <w:sz w:val="28"/>
          <w:szCs w:val="28"/>
        </w:rPr>
        <w:t>glutaminase antibodies, now recognized</w:t>
      </w:r>
      <w:r w:rsidR="00F05B9C">
        <w:rPr>
          <w:rFonts w:cstheme="majorBidi"/>
          <w:b/>
          <w:bCs/>
          <w:sz w:val="28"/>
          <w:szCs w:val="28"/>
        </w:rPr>
        <w:t xml:space="preserve"> </w:t>
      </w:r>
      <w:r w:rsidRPr="00A961CA">
        <w:rPr>
          <w:rFonts w:cstheme="majorBidi"/>
          <w:b/>
          <w:bCs/>
          <w:sz w:val="28"/>
          <w:szCs w:val="28"/>
        </w:rPr>
        <w:t>as the offen</w:t>
      </w:r>
      <w:r w:rsidR="000A54FF" w:rsidRPr="00A961CA">
        <w:rPr>
          <w:rFonts w:cstheme="majorBidi"/>
          <w:b/>
          <w:bCs/>
          <w:sz w:val="28"/>
          <w:szCs w:val="28"/>
        </w:rPr>
        <w:t>ding endogenous antigen in CD )</w:t>
      </w:r>
      <w:r w:rsidR="000A54FF" w:rsidRPr="00A961CA">
        <w:rPr>
          <w:rStyle w:val="FootnoteReference"/>
          <w:rFonts w:cstheme="majorBidi"/>
          <w:b/>
          <w:bCs/>
          <w:sz w:val="28"/>
          <w:szCs w:val="28"/>
        </w:rPr>
        <w:footnoteReference w:id="20"/>
      </w:r>
      <w:r w:rsidRPr="00A961CA">
        <w:rPr>
          <w:rFonts w:cstheme="majorBidi"/>
          <w:b/>
          <w:bCs/>
          <w:sz w:val="28"/>
          <w:szCs w:val="28"/>
        </w:rPr>
        <w:t>,a “celiac intestinal antibody pattern,”</w:t>
      </w:r>
      <w:r w:rsidR="00EF7548" w:rsidRPr="00A961CA">
        <w:rPr>
          <w:rFonts w:cstheme="majorBidi"/>
          <w:b/>
          <w:bCs/>
        </w:rPr>
        <w:t xml:space="preserve">. </w:t>
      </w:r>
      <w:r w:rsidR="002450DF" w:rsidRPr="00A961CA">
        <w:rPr>
          <w:rFonts w:cstheme="majorBidi"/>
          <w:b/>
          <w:bCs/>
          <w:sz w:val="28"/>
          <w:szCs w:val="28"/>
        </w:rPr>
        <w:t>Studies usingserologic tests and small-bowel biopsies in patientsreferred for evaluation of IDA have reported CD in</w:t>
      </w:r>
      <w:r w:rsidR="00EF7548" w:rsidRPr="00A961CA">
        <w:rPr>
          <w:rFonts w:cstheme="majorBidi"/>
          <w:b/>
          <w:bCs/>
          <w:sz w:val="28"/>
          <w:szCs w:val="28"/>
        </w:rPr>
        <w:t xml:space="preserve">1.8%-14.6% of patients </w:t>
      </w:r>
      <w:r w:rsidR="00EF7548" w:rsidRPr="00A961CA">
        <w:rPr>
          <w:rStyle w:val="FootnoteReference"/>
          <w:rFonts w:cstheme="majorBidi"/>
          <w:b/>
          <w:bCs/>
          <w:sz w:val="28"/>
          <w:szCs w:val="28"/>
        </w:rPr>
        <w:footnoteReference w:id="21"/>
      </w:r>
      <w:r w:rsidR="00EF7548" w:rsidRPr="00A961CA">
        <w:rPr>
          <w:rFonts w:cstheme="majorBidi"/>
          <w:b/>
          <w:bCs/>
          <w:sz w:val="28"/>
          <w:szCs w:val="28"/>
        </w:rPr>
        <w:t>,</w:t>
      </w:r>
      <w:r w:rsidR="00EF7548" w:rsidRPr="00A961CA">
        <w:rPr>
          <w:rStyle w:val="FootnoteReference"/>
          <w:rFonts w:cstheme="majorBidi"/>
          <w:b/>
          <w:bCs/>
          <w:sz w:val="28"/>
          <w:szCs w:val="28"/>
        </w:rPr>
        <w:footnoteReference w:id="22"/>
      </w:r>
      <w:r w:rsidR="00EF7548" w:rsidRPr="00A961CA">
        <w:rPr>
          <w:rFonts w:cstheme="majorBidi"/>
          <w:b/>
          <w:bCs/>
          <w:sz w:val="28"/>
          <w:szCs w:val="28"/>
        </w:rPr>
        <w:t xml:space="preserve">.This prevalencemay be especially high in those unresponsive to oral iron therapy </w:t>
      </w:r>
      <w:r w:rsidR="00345420" w:rsidRPr="00A961CA">
        <w:rPr>
          <w:rStyle w:val="FootnoteReference"/>
          <w:rFonts w:cstheme="majorBidi"/>
          <w:b/>
          <w:bCs/>
          <w:sz w:val="28"/>
          <w:szCs w:val="28"/>
        </w:rPr>
        <w:footnoteReference w:id="23"/>
      </w:r>
      <w:r w:rsidR="00EF7548" w:rsidRPr="00A961CA">
        <w:rPr>
          <w:rFonts w:cstheme="majorBidi"/>
          <w:b/>
          <w:bCs/>
          <w:sz w:val="28"/>
          <w:szCs w:val="28"/>
        </w:rPr>
        <w:t>.</w:t>
      </w:r>
      <w:r w:rsidR="00345420" w:rsidRPr="00A961CA">
        <w:rPr>
          <w:rFonts w:cstheme="majorBidi"/>
          <w:b/>
          <w:bCs/>
          <w:sz w:val="28"/>
          <w:szCs w:val="28"/>
        </w:rPr>
        <w:t xml:space="preserve">In a sub-group study of patientswho did not respond to iron replacement, theprevalence of CD was found as 20% </w:t>
      </w:r>
      <w:r w:rsidR="00345420" w:rsidRPr="00A961CA">
        <w:rPr>
          <w:rStyle w:val="FootnoteReference"/>
          <w:rFonts w:cstheme="majorBidi"/>
          <w:b/>
          <w:bCs/>
          <w:sz w:val="28"/>
          <w:szCs w:val="28"/>
        </w:rPr>
        <w:footnoteReference w:id="24"/>
      </w:r>
      <w:r w:rsidR="00345420" w:rsidRPr="00A961CA">
        <w:rPr>
          <w:rFonts w:cstheme="majorBidi"/>
          <w:b/>
          <w:bCs/>
          <w:sz w:val="28"/>
          <w:szCs w:val="28"/>
        </w:rPr>
        <w:t>,</w:t>
      </w:r>
      <w:r w:rsidR="00345420" w:rsidRPr="00A961CA">
        <w:rPr>
          <w:rStyle w:val="FootnoteReference"/>
          <w:rFonts w:cstheme="majorBidi"/>
          <w:b/>
          <w:bCs/>
          <w:sz w:val="28"/>
          <w:szCs w:val="28"/>
        </w:rPr>
        <w:footnoteReference w:id="25"/>
      </w:r>
      <w:r w:rsidR="00345420" w:rsidRPr="00A961CA">
        <w:rPr>
          <w:rFonts w:cstheme="majorBidi"/>
          <w:b/>
          <w:bCs/>
          <w:sz w:val="28"/>
          <w:szCs w:val="28"/>
        </w:rPr>
        <w:t>.</w:t>
      </w:r>
      <w:r w:rsidR="007E21DF" w:rsidRPr="00A961CA">
        <w:rPr>
          <w:rFonts w:cstheme="majorBidi"/>
          <w:b/>
          <w:bCs/>
          <w:sz w:val="28"/>
          <w:szCs w:val="28"/>
        </w:rPr>
        <w:t>A positive CD-specifi c serology (TTG, DGP, and EMA) in</w:t>
      </w:r>
      <w:r w:rsidR="00F61392" w:rsidRPr="00A961CA">
        <w:rPr>
          <w:rFonts w:cstheme="majorBidi"/>
          <w:b/>
          <w:bCs/>
          <w:sz w:val="28"/>
          <w:szCs w:val="28"/>
        </w:rPr>
        <w:t>patients with villous atrophy confirms the diagnosis of CD</w:t>
      </w:r>
      <w:r w:rsidR="00F61392" w:rsidRPr="00A961CA">
        <w:rPr>
          <w:rStyle w:val="FootnoteReference"/>
          <w:rFonts w:cstheme="majorBidi"/>
          <w:b/>
          <w:bCs/>
          <w:sz w:val="28"/>
          <w:szCs w:val="28"/>
        </w:rPr>
        <w:footnoteReference w:id="26"/>
      </w:r>
      <w:r w:rsidR="00F14CD5" w:rsidRPr="00A961CA">
        <w:rPr>
          <w:rFonts w:cstheme="majorBidi"/>
          <w:b/>
          <w:bCs/>
          <w:sz w:val="28"/>
          <w:szCs w:val="28"/>
        </w:rPr>
        <w:t>.A positiveserological test is supportive of the diagnosis bu</w:t>
      </w:r>
      <w:r w:rsidR="007101FC" w:rsidRPr="00A961CA">
        <w:rPr>
          <w:rFonts w:cstheme="majorBidi"/>
          <w:b/>
          <w:bCs/>
          <w:sz w:val="28"/>
          <w:szCs w:val="28"/>
        </w:rPr>
        <w:t>t no single testis 100% specifi</w:t>
      </w:r>
      <w:r w:rsidR="00F14CD5" w:rsidRPr="00A961CA">
        <w:rPr>
          <w:rFonts w:cstheme="majorBidi"/>
          <w:b/>
          <w:bCs/>
          <w:sz w:val="28"/>
          <w:szCs w:val="28"/>
        </w:rPr>
        <w:t>c for CD and the diagnostic accuracy varies dram</w:t>
      </w:r>
      <w:r w:rsidR="007101FC" w:rsidRPr="00A961CA">
        <w:rPr>
          <w:rFonts w:cstheme="majorBidi"/>
          <w:b/>
          <w:bCs/>
          <w:sz w:val="28"/>
          <w:szCs w:val="28"/>
        </w:rPr>
        <w:t xml:space="preserve">atically between laboratories </w:t>
      </w:r>
      <w:r w:rsidR="00F14CD5" w:rsidRPr="00A961CA">
        <w:rPr>
          <w:rFonts w:cstheme="majorBidi"/>
          <w:b/>
          <w:bCs/>
          <w:sz w:val="28"/>
          <w:szCs w:val="28"/>
        </w:rPr>
        <w:t xml:space="preserve"> .The reasonwhy both IgA and IgG antibodies are usedin the diagnosis of CD, is that those people areat least five times more frequently IgA deficientthan healthy control subjects, and appropriatescreening for CD requires measurement ofendomyseal or tissue transglutaminase antibodies and IgA</w:t>
      </w:r>
      <w:r w:rsidR="00F14CD5" w:rsidRPr="00A961CA">
        <w:rPr>
          <w:rStyle w:val="FootnoteReference"/>
          <w:rFonts w:cstheme="majorBidi"/>
          <w:b/>
          <w:bCs/>
          <w:sz w:val="28"/>
          <w:szCs w:val="28"/>
        </w:rPr>
        <w:footnoteReference w:id="27"/>
      </w:r>
      <w:r w:rsidR="00F14CD5" w:rsidRPr="00A961CA">
        <w:rPr>
          <w:rFonts w:cstheme="majorBidi"/>
          <w:b/>
          <w:bCs/>
          <w:sz w:val="28"/>
          <w:szCs w:val="28"/>
        </w:rPr>
        <w:t xml:space="preserve">.The prevalence 0f CD in this study </w:t>
      </w:r>
      <w:r w:rsidR="002656B8" w:rsidRPr="00A961CA">
        <w:rPr>
          <w:rFonts w:cstheme="majorBidi"/>
          <w:b/>
          <w:bCs/>
          <w:sz w:val="28"/>
          <w:szCs w:val="28"/>
        </w:rPr>
        <w:t>is 4.3 % in 2018.while the prevalence of CD in IDA is 19.5 %.For instances in some centersthe presence of a few inflammatory cellsin an otherwise normal epithelium is sufficientto make the diagnosis in a seropositive patient</w:t>
      </w:r>
      <w:r w:rsidR="002656B8" w:rsidRPr="00A961CA">
        <w:rPr>
          <w:rStyle w:val="FootnoteReference"/>
          <w:rFonts w:cstheme="majorBidi"/>
          <w:b/>
          <w:bCs/>
          <w:sz w:val="28"/>
          <w:szCs w:val="28"/>
        </w:rPr>
        <w:footnoteReference w:id="28"/>
      </w:r>
      <w:r w:rsidR="002656B8" w:rsidRPr="00A961CA">
        <w:rPr>
          <w:rFonts w:cstheme="majorBidi"/>
          <w:b/>
          <w:bCs/>
          <w:sz w:val="28"/>
          <w:szCs w:val="28"/>
        </w:rPr>
        <w:t>,</w:t>
      </w:r>
      <w:r w:rsidR="002656B8" w:rsidRPr="00A961CA">
        <w:rPr>
          <w:rStyle w:val="FootnoteReference"/>
          <w:rFonts w:cstheme="majorBidi"/>
          <w:b/>
          <w:bCs/>
          <w:sz w:val="28"/>
          <w:szCs w:val="28"/>
        </w:rPr>
        <w:footnoteReference w:id="29"/>
      </w:r>
      <w:r w:rsidR="002656B8" w:rsidRPr="00A961CA">
        <w:rPr>
          <w:rFonts w:cstheme="majorBidi"/>
          <w:b/>
          <w:bCs/>
          <w:sz w:val="28"/>
          <w:szCs w:val="28"/>
        </w:rPr>
        <w:t>,</w:t>
      </w:r>
      <w:r w:rsidR="002656B8" w:rsidRPr="00A961CA">
        <w:rPr>
          <w:rStyle w:val="FootnoteReference"/>
          <w:rFonts w:cstheme="majorBidi"/>
          <w:b/>
          <w:bCs/>
          <w:sz w:val="28"/>
          <w:szCs w:val="28"/>
        </w:rPr>
        <w:footnoteReference w:id="30"/>
      </w:r>
      <w:r w:rsidR="002656B8" w:rsidRPr="00A961CA">
        <w:rPr>
          <w:rFonts w:cstheme="majorBidi"/>
          <w:b/>
          <w:bCs/>
          <w:sz w:val="28"/>
          <w:szCs w:val="28"/>
        </w:rPr>
        <w:t>.</w:t>
      </w:r>
      <w:r w:rsidR="000C52C0" w:rsidRPr="00A961CA">
        <w:rPr>
          <w:rFonts w:cstheme="majorBidi"/>
          <w:b/>
          <w:bCs/>
          <w:sz w:val="28"/>
          <w:szCs w:val="28"/>
        </w:rPr>
        <w:t>In this study 12 of the patients seropositive and had normal or non specific duodenitis in histopathology.</w:t>
      </w:r>
      <w:r w:rsidR="00F05B9C">
        <w:rPr>
          <w:rFonts w:cstheme="majorBidi"/>
          <w:b/>
          <w:bCs/>
          <w:sz w:val="28"/>
          <w:szCs w:val="28"/>
        </w:rPr>
        <w:t xml:space="preserve"> </w:t>
      </w:r>
      <w:r w:rsidR="003F32B0" w:rsidRPr="00A961CA">
        <w:rPr>
          <w:rFonts w:cstheme="majorBidi"/>
          <w:b/>
          <w:bCs/>
          <w:sz w:val="28"/>
          <w:szCs w:val="28"/>
        </w:rPr>
        <w:t>duodenosis</w:t>
      </w:r>
      <w:r w:rsidR="003F32B0" w:rsidRPr="00A961CA">
        <w:rPr>
          <w:rStyle w:val="FootnoteReference"/>
          <w:rFonts w:cstheme="majorBidi"/>
          <w:b/>
          <w:bCs/>
          <w:sz w:val="28"/>
          <w:szCs w:val="28"/>
        </w:rPr>
        <w:footnoteReference w:id="31"/>
      </w:r>
      <w:r w:rsidR="000C52C0" w:rsidRPr="00A961CA">
        <w:rPr>
          <w:rFonts w:cstheme="majorBidi"/>
          <w:b/>
          <w:bCs/>
          <w:sz w:val="28"/>
          <w:szCs w:val="28"/>
        </w:rPr>
        <w:t xml:space="preserve">Lymphocyticis a common condition </w:t>
      </w:r>
      <w:r w:rsidR="000C52C0" w:rsidRPr="00A961CA">
        <w:rPr>
          <w:rFonts w:cstheme="majorBidi"/>
          <w:b/>
          <w:bCs/>
          <w:sz w:val="28"/>
          <w:szCs w:val="28"/>
        </w:rPr>
        <w:lastRenderedPageBreak/>
        <w:t>(3.8% of a</w:t>
      </w:r>
      <w:r w:rsidR="003F32B0" w:rsidRPr="00A961CA">
        <w:rPr>
          <w:rFonts w:cstheme="majorBidi"/>
          <w:b/>
          <w:bCs/>
          <w:sz w:val="28"/>
          <w:szCs w:val="28"/>
        </w:rPr>
        <w:t>serology</w:t>
      </w:r>
      <w:r w:rsidR="003F32B0" w:rsidRPr="00A961CA">
        <w:rPr>
          <w:rStyle w:val="FootnoteReference"/>
          <w:rFonts w:cstheme="majorBidi"/>
          <w:b/>
          <w:bCs/>
          <w:sz w:val="28"/>
          <w:szCs w:val="28"/>
        </w:rPr>
        <w:footnoteReference w:id="32"/>
      </w:r>
      <w:r w:rsidR="000C52C0" w:rsidRPr="00A961CA">
        <w:rPr>
          <w:rFonts w:cstheme="majorBidi"/>
          <w:b/>
          <w:bCs/>
          <w:sz w:val="28"/>
          <w:szCs w:val="28"/>
        </w:rPr>
        <w:t xml:space="preserve">)population negative for </w:t>
      </w:r>
      <w:r w:rsidR="007101FC" w:rsidRPr="00A961CA">
        <w:rPr>
          <w:rFonts w:cstheme="majorBidi"/>
          <w:b/>
          <w:bCs/>
          <w:sz w:val="28"/>
          <w:szCs w:val="28"/>
        </w:rPr>
        <w:t xml:space="preserve">celiac </w:t>
      </w:r>
      <w:r w:rsidR="000C52C0" w:rsidRPr="00A961CA">
        <w:rPr>
          <w:rFonts w:cstheme="majorBidi"/>
          <w:b/>
          <w:bCs/>
          <w:sz w:val="28"/>
          <w:szCs w:val="28"/>
        </w:rPr>
        <w:t>seen in association</w:t>
      </w:r>
      <w:r w:rsidR="00CC3574">
        <w:rPr>
          <w:rFonts w:cstheme="majorBidi"/>
          <w:b/>
          <w:bCs/>
          <w:sz w:val="28"/>
          <w:szCs w:val="28"/>
        </w:rPr>
        <w:t xml:space="preserve"> </w:t>
      </w:r>
      <w:r w:rsidR="000C52C0" w:rsidRPr="00A961CA">
        <w:rPr>
          <w:rFonts w:cstheme="majorBidi"/>
          <w:b/>
          <w:bCs/>
          <w:sz w:val="28"/>
          <w:szCs w:val="28"/>
        </w:rPr>
        <w:t>with</w:t>
      </w:r>
      <w:r w:rsidR="00CC3574">
        <w:rPr>
          <w:rFonts w:cstheme="majorBidi"/>
          <w:b/>
          <w:bCs/>
          <w:sz w:val="28"/>
          <w:szCs w:val="28"/>
        </w:rPr>
        <w:t xml:space="preserve"> </w:t>
      </w:r>
      <w:r w:rsidR="000C52C0" w:rsidRPr="00A961CA">
        <w:rPr>
          <w:rFonts w:cstheme="majorBidi"/>
          <w:b/>
          <w:bCs/>
          <w:sz w:val="28"/>
          <w:szCs w:val="28"/>
        </w:rPr>
        <w:t>infection(particularly</w:t>
      </w:r>
      <w:r w:rsidR="00CC3574">
        <w:rPr>
          <w:rFonts w:cstheme="majorBidi"/>
          <w:b/>
          <w:bCs/>
          <w:sz w:val="28"/>
          <w:szCs w:val="28"/>
        </w:rPr>
        <w:t xml:space="preserve"> </w:t>
      </w:r>
      <w:r w:rsidR="000C52C0" w:rsidRPr="00A961CA">
        <w:rPr>
          <w:rFonts w:cstheme="majorBidi"/>
          <w:b/>
          <w:bCs/>
          <w:sz w:val="28"/>
          <w:szCs w:val="28"/>
        </w:rPr>
        <w:t>Helicobacter</w:t>
      </w:r>
      <w:r w:rsidR="00CC3574">
        <w:rPr>
          <w:rFonts w:cstheme="majorBidi"/>
          <w:b/>
          <w:bCs/>
          <w:sz w:val="28"/>
          <w:szCs w:val="28"/>
        </w:rPr>
        <w:t xml:space="preserve"> </w:t>
      </w:r>
      <w:r w:rsidR="000C52C0" w:rsidRPr="00A961CA">
        <w:rPr>
          <w:rFonts w:cstheme="majorBidi"/>
          <w:b/>
          <w:bCs/>
          <w:sz w:val="28"/>
          <w:szCs w:val="28"/>
        </w:rPr>
        <w:t>pylori),altered</w:t>
      </w:r>
      <w:r w:rsidR="00CC3574">
        <w:rPr>
          <w:rFonts w:cstheme="majorBidi"/>
          <w:b/>
          <w:bCs/>
          <w:sz w:val="28"/>
          <w:szCs w:val="28"/>
        </w:rPr>
        <w:t xml:space="preserve"> </w:t>
      </w:r>
      <w:r w:rsidR="000C52C0" w:rsidRPr="00A961CA">
        <w:rPr>
          <w:rFonts w:cstheme="majorBidi"/>
          <w:b/>
          <w:bCs/>
          <w:sz w:val="28"/>
          <w:szCs w:val="28"/>
        </w:rPr>
        <w:t xml:space="preserve">immune states, for example, common variable </w:t>
      </w:r>
      <w:r w:rsidR="007101FC" w:rsidRPr="00A961CA">
        <w:rPr>
          <w:rFonts w:cstheme="majorBidi"/>
          <w:b/>
          <w:bCs/>
          <w:sz w:val="28"/>
          <w:szCs w:val="28"/>
        </w:rPr>
        <w:t xml:space="preserve">immune </w:t>
      </w:r>
      <w:r w:rsidR="000C52C0" w:rsidRPr="00A961CA">
        <w:rPr>
          <w:rFonts w:cstheme="majorBidi"/>
          <w:b/>
          <w:bCs/>
          <w:sz w:val="28"/>
          <w:szCs w:val="28"/>
        </w:rPr>
        <w:t>deficiency,autoimmune and chronic inflammatory disorders, drugs</w:t>
      </w:r>
      <w:r w:rsidR="003F32B0" w:rsidRPr="00A961CA">
        <w:rPr>
          <w:rStyle w:val="FootnoteReference"/>
          <w:rFonts w:cstheme="majorBidi"/>
          <w:b/>
          <w:bCs/>
          <w:sz w:val="28"/>
          <w:szCs w:val="28"/>
        </w:rPr>
        <w:footnoteReference w:id="33"/>
      </w:r>
      <w:r w:rsidR="003F32B0" w:rsidRPr="00A961CA">
        <w:rPr>
          <w:rFonts w:cstheme="majorBidi"/>
          <w:b/>
          <w:bCs/>
          <w:sz w:val="28"/>
          <w:szCs w:val="28"/>
        </w:rPr>
        <w:t>,</w:t>
      </w:r>
      <w:r w:rsidR="003F32B0" w:rsidRPr="00A961CA">
        <w:rPr>
          <w:rStyle w:val="FootnoteReference"/>
          <w:rFonts w:cstheme="majorBidi"/>
          <w:b/>
          <w:bCs/>
          <w:sz w:val="28"/>
          <w:szCs w:val="28"/>
        </w:rPr>
        <w:footnoteReference w:id="34"/>
      </w:r>
      <w:r w:rsidR="000C52C0" w:rsidRPr="00A961CA">
        <w:rPr>
          <w:rFonts w:cstheme="majorBidi"/>
          <w:b/>
          <w:bCs/>
          <w:sz w:val="28"/>
          <w:szCs w:val="28"/>
        </w:rPr>
        <w:t>and neoplasiaThe villous architecture is normal, typically</w:t>
      </w:r>
      <w:r w:rsidR="000C52C0" w:rsidRPr="00A961CA">
        <w:rPr>
          <w:rFonts w:cstheme="majorBidi"/>
          <w:b/>
          <w:bCs/>
          <w:sz w:val="28"/>
          <w:szCs w:val="28"/>
        </w:rPr>
        <w:cr/>
        <w:t>there is no crypt hyperplasia and IELs are=25/100enterocytes. Of note, in a single study 16% of cases of lympho</w:t>
      </w:r>
      <w:r w:rsidR="00CC3574">
        <w:rPr>
          <w:rFonts w:cstheme="majorBidi"/>
          <w:b/>
          <w:bCs/>
          <w:sz w:val="28"/>
          <w:szCs w:val="28"/>
        </w:rPr>
        <w:t xml:space="preserve"> </w:t>
      </w:r>
      <w:r w:rsidR="000C52C0" w:rsidRPr="00A961CA">
        <w:rPr>
          <w:rFonts w:cstheme="majorBidi"/>
          <w:b/>
          <w:bCs/>
          <w:sz w:val="28"/>
          <w:szCs w:val="28"/>
        </w:rPr>
        <w:t>Cyticduodenosis were found to have CD</w:t>
      </w:r>
      <w:r w:rsidR="00CC3574">
        <w:rPr>
          <w:rFonts w:cstheme="majorBidi"/>
          <w:b/>
          <w:bCs/>
          <w:sz w:val="28"/>
          <w:szCs w:val="28"/>
        </w:rPr>
        <w:t>.</w:t>
      </w:r>
      <w:r w:rsidR="003F32B0" w:rsidRPr="00A961CA">
        <w:rPr>
          <w:rFonts w:cstheme="majorBidi"/>
          <w:b/>
          <w:bCs/>
          <w:sz w:val="28"/>
          <w:szCs w:val="28"/>
        </w:rPr>
        <w:t>A biopsy finding of villousatrophy is not specific for CD. Although CD is the commonest</w:t>
      </w:r>
      <w:r w:rsidR="00CC3574">
        <w:rPr>
          <w:rFonts w:cstheme="majorBidi"/>
          <w:b/>
          <w:bCs/>
          <w:sz w:val="28"/>
          <w:szCs w:val="28"/>
        </w:rPr>
        <w:t xml:space="preserve"> </w:t>
      </w:r>
      <w:r w:rsidR="003F32B0" w:rsidRPr="00A961CA">
        <w:rPr>
          <w:rFonts w:cstheme="majorBidi"/>
          <w:b/>
          <w:bCs/>
          <w:sz w:val="28"/>
          <w:szCs w:val="28"/>
        </w:rPr>
        <w:t>cause of villous atrophy,</w:t>
      </w:r>
      <w:r w:rsidR="00CC3574">
        <w:rPr>
          <w:rFonts w:cstheme="majorBidi"/>
          <w:b/>
          <w:bCs/>
          <w:sz w:val="28"/>
          <w:szCs w:val="28"/>
        </w:rPr>
        <w:t xml:space="preserve"> there are other causes </w:t>
      </w:r>
      <w:r w:rsidR="003F32B0" w:rsidRPr="00A961CA">
        <w:rPr>
          <w:rFonts w:cstheme="majorBidi"/>
          <w:b/>
          <w:bCs/>
          <w:sz w:val="28"/>
          <w:szCs w:val="28"/>
        </w:rPr>
        <w:t>for this</w:t>
      </w:r>
      <w:r w:rsidR="00CC3574">
        <w:rPr>
          <w:rFonts w:cstheme="majorBidi"/>
          <w:b/>
          <w:bCs/>
          <w:sz w:val="28"/>
          <w:szCs w:val="28"/>
        </w:rPr>
        <w:t xml:space="preserve"> </w:t>
      </w:r>
      <w:r w:rsidR="003F32B0" w:rsidRPr="00A961CA">
        <w:rPr>
          <w:rFonts w:cstheme="majorBidi"/>
          <w:b/>
          <w:bCs/>
          <w:sz w:val="28"/>
          <w:szCs w:val="28"/>
        </w:rPr>
        <w:t>reason the addition of coeliac-specific serology seals the diagnosis.</w:t>
      </w:r>
      <w:r w:rsidR="003F32B0" w:rsidRPr="00A961CA">
        <w:rPr>
          <w:rFonts w:cstheme="majorBidi"/>
          <w:b/>
          <w:bCs/>
          <w:sz w:val="28"/>
          <w:szCs w:val="28"/>
        </w:rPr>
        <w:cr/>
        <w:t>The biopsies must be properly oriented (usually by anexperienced laboratory technician) as correct orientation isnecessary for assessment of villous height crypt depth ratio(derived from the well oriented fields of the biopsies).</w:t>
      </w:r>
      <w:r w:rsidR="003632D4" w:rsidRPr="00A961CA">
        <w:rPr>
          <w:rFonts w:cstheme="majorBidi"/>
          <w:b/>
          <w:bCs/>
          <w:sz w:val="28"/>
          <w:szCs w:val="28"/>
        </w:rPr>
        <w:t>the following feature should state in report:Number of biopsies (including those from the duodenal)</w:t>
      </w:r>
      <w:r w:rsidR="003632D4" w:rsidRPr="00A961CA">
        <w:rPr>
          <w:rStyle w:val="FootnoteReference"/>
          <w:rFonts w:cstheme="majorBidi"/>
          <w:b/>
          <w:bCs/>
          <w:sz w:val="28"/>
          <w:szCs w:val="28"/>
        </w:rPr>
        <w:footnoteReference w:id="35"/>
      </w:r>
      <w:r w:rsidR="003632D4" w:rsidRPr="00A961CA">
        <w:rPr>
          <w:rFonts w:cstheme="majorBidi"/>
          <w:b/>
          <w:bCs/>
          <w:sz w:val="28"/>
          <w:szCs w:val="28"/>
        </w:rPr>
        <w:t>bulband orientation.The architectural features (normal, partial, sub-total or total villous atrophy).Comment on the content of the lamina propria (in CD theseare lymphocytes, plasma cells and eosinophils, and occasionallyneutrophils, but cryptitis and crypt abscesses shouldsuggest other pathology).Presence of Brunner’s glands.Presence of crypt hyperplasia, villous height: crypt depth</w:t>
      </w:r>
      <w:r w:rsidR="003632D4" w:rsidRPr="00A961CA">
        <w:rPr>
          <w:rStyle w:val="FootnoteReference"/>
          <w:rFonts w:cstheme="majorBidi"/>
          <w:b/>
          <w:bCs/>
          <w:sz w:val="28"/>
          <w:szCs w:val="28"/>
        </w:rPr>
        <w:footnoteReference w:id="36"/>
      </w:r>
      <w:r w:rsidR="003632D4" w:rsidRPr="00A961CA">
        <w:rPr>
          <w:rFonts w:cstheme="majorBidi"/>
          <w:b/>
          <w:bCs/>
          <w:sz w:val="28"/>
          <w:szCs w:val="28"/>
        </w:rPr>
        <w:t>ratio (3:1).The absence of plasma cells suggests commonvariable immunodeficiency.Evaluation of IELs (with immunocytochemical staining for T</w:t>
      </w:r>
      <w:r w:rsidR="00523716" w:rsidRPr="00A961CA">
        <w:rPr>
          <w:rFonts w:cstheme="majorBidi"/>
          <w:b/>
          <w:bCs/>
          <w:sz w:val="28"/>
          <w:szCs w:val="28"/>
        </w:rPr>
        <w:t>cases</w:t>
      </w:r>
      <w:r w:rsidR="00523716" w:rsidRPr="00A961CA">
        <w:rPr>
          <w:rStyle w:val="FootnoteReference"/>
          <w:rFonts w:cstheme="majorBidi"/>
          <w:b/>
          <w:bCs/>
          <w:sz w:val="28"/>
          <w:szCs w:val="28"/>
        </w:rPr>
        <w:footnoteReference w:id="37"/>
      </w:r>
      <w:r w:rsidR="003632D4" w:rsidRPr="00A961CA">
        <w:rPr>
          <w:rFonts w:cstheme="majorBidi"/>
          <w:b/>
          <w:bCs/>
          <w:sz w:val="28"/>
          <w:szCs w:val="28"/>
        </w:rPr>
        <w:t>)cells (CD3) in equivocalis vital.</w:t>
      </w:r>
      <w:r w:rsidR="00523716" w:rsidRPr="00A961CA">
        <w:rPr>
          <w:rFonts w:cstheme="majorBidi"/>
          <w:b/>
          <w:bCs/>
          <w:sz w:val="28"/>
          <w:szCs w:val="28"/>
        </w:rPr>
        <w:t>Whilst the classic presentation of CD with</w:t>
      </w:r>
      <w:r w:rsidR="00CC3574">
        <w:rPr>
          <w:rFonts w:cstheme="majorBidi"/>
          <w:b/>
          <w:bCs/>
          <w:sz w:val="28"/>
          <w:szCs w:val="28"/>
        </w:rPr>
        <w:t xml:space="preserve"> </w:t>
      </w:r>
      <w:r w:rsidR="00523716" w:rsidRPr="00A961CA">
        <w:rPr>
          <w:rFonts w:cstheme="majorBidi"/>
          <w:b/>
          <w:bCs/>
          <w:sz w:val="28"/>
          <w:szCs w:val="28"/>
        </w:rPr>
        <w:t>diarrhoea and malabsorption has become relativelyrare (prevalence from 1 in 2000 to 1 in</w:t>
      </w:r>
      <w:r w:rsidR="000D3FA2" w:rsidRPr="00A961CA">
        <w:rPr>
          <w:rFonts w:cstheme="majorBidi"/>
          <w:b/>
          <w:bCs/>
          <w:sz w:val="28"/>
          <w:szCs w:val="28"/>
        </w:rPr>
        <w:t xml:space="preserve">10 000 in the west), atypical, </w:t>
      </w:r>
      <w:r w:rsidR="00523716" w:rsidRPr="00A961CA">
        <w:rPr>
          <w:rFonts w:cstheme="majorBidi"/>
          <w:b/>
          <w:bCs/>
          <w:sz w:val="28"/>
          <w:szCs w:val="28"/>
        </w:rPr>
        <w:t>oligosymptomatic,or even asymptomatic manifestations (withpatients having villous flattening of variousdegrees) are frequent, with an estimated prevalenceof 1 in 200 in Europe and the USA, makingCD one of the most common inherited disorders.Untreated patients witholigosymptomatic like IDA or asymptomaticCD are of concern, since they might have anincreased risk of disease exacerbation later,secondary autoimmune disorders, and gastrointestinal</w:t>
      </w:r>
      <w:r w:rsidR="000D3FA2" w:rsidRPr="00A961CA">
        <w:rPr>
          <w:rFonts w:cstheme="majorBidi"/>
          <w:b/>
          <w:bCs/>
          <w:sz w:val="28"/>
          <w:szCs w:val="28"/>
        </w:rPr>
        <w:t xml:space="preserve"> or h</w:t>
      </w:r>
      <w:r w:rsidR="00523716" w:rsidRPr="00A961CA">
        <w:rPr>
          <w:rFonts w:cstheme="majorBidi"/>
          <w:b/>
          <w:bCs/>
          <w:sz w:val="28"/>
          <w:szCs w:val="28"/>
        </w:rPr>
        <w:t>ematological cancers</w:t>
      </w:r>
      <w:r w:rsidR="00523716" w:rsidRPr="00A961CA">
        <w:rPr>
          <w:rStyle w:val="FootnoteReference"/>
          <w:rFonts w:cstheme="majorBidi"/>
          <w:b/>
          <w:bCs/>
          <w:sz w:val="28"/>
          <w:szCs w:val="28"/>
        </w:rPr>
        <w:footnoteReference w:id="38"/>
      </w:r>
      <w:r w:rsidR="00523716" w:rsidRPr="00A961CA">
        <w:rPr>
          <w:rFonts w:cstheme="majorBidi"/>
          <w:b/>
          <w:bCs/>
          <w:sz w:val="28"/>
          <w:szCs w:val="28"/>
        </w:rPr>
        <w:t>,</w:t>
      </w:r>
      <w:r w:rsidR="00523716" w:rsidRPr="00A961CA">
        <w:rPr>
          <w:rStyle w:val="FootnoteReference"/>
          <w:rFonts w:cstheme="majorBidi"/>
          <w:b/>
          <w:bCs/>
          <w:sz w:val="28"/>
          <w:szCs w:val="28"/>
        </w:rPr>
        <w:footnoteReference w:id="39"/>
      </w:r>
      <w:r w:rsidR="008C6589" w:rsidRPr="00A961CA">
        <w:rPr>
          <w:rFonts w:cs="HelveticaLTStd-Bold"/>
          <w:b/>
          <w:bCs/>
          <w:sz w:val="18"/>
          <w:szCs w:val="18"/>
        </w:rPr>
        <w:t xml:space="preserve"> </w:t>
      </w:r>
    </w:p>
    <w:p w:rsidR="008C6589" w:rsidRPr="00CC3574" w:rsidRDefault="008C6589" w:rsidP="008C6589">
      <w:pPr>
        <w:autoSpaceDE w:val="0"/>
        <w:autoSpaceDN w:val="0"/>
        <w:adjustRightInd w:val="0"/>
        <w:spacing w:after="0" w:line="240" w:lineRule="auto"/>
        <w:rPr>
          <w:rFonts w:asciiTheme="majorBidi" w:eastAsia="TimesNewRomanMTStd" w:hAnsiTheme="majorBidi" w:cstheme="majorBidi"/>
          <w:b/>
          <w:bCs/>
          <w:color w:val="C00000"/>
          <w:sz w:val="28"/>
          <w:szCs w:val="28"/>
        </w:rPr>
      </w:pPr>
      <w:r w:rsidRPr="00CC3574">
        <w:rPr>
          <w:rFonts w:asciiTheme="majorBidi" w:eastAsia="TimesNewRomanMTStd" w:hAnsiTheme="majorBidi" w:cstheme="majorBidi"/>
          <w:b/>
          <w:bCs/>
          <w:color w:val="C00000"/>
          <w:sz w:val="28"/>
          <w:szCs w:val="28"/>
        </w:rPr>
        <w:lastRenderedPageBreak/>
        <w:t>conclusion</w:t>
      </w:r>
    </w:p>
    <w:p w:rsidR="008C6589" w:rsidRPr="00A961CA" w:rsidRDefault="008C6589" w:rsidP="00CC3574">
      <w:pPr>
        <w:autoSpaceDE w:val="0"/>
        <w:autoSpaceDN w:val="0"/>
        <w:adjustRightInd w:val="0"/>
        <w:spacing w:after="0" w:line="240" w:lineRule="auto"/>
        <w:rPr>
          <w:rFonts w:eastAsia="TimesNewRomanMTStd" w:cstheme="majorBidi"/>
          <w:b/>
          <w:bCs/>
          <w:sz w:val="28"/>
          <w:szCs w:val="28"/>
        </w:rPr>
      </w:pPr>
      <w:r w:rsidRPr="00A961CA">
        <w:rPr>
          <w:rFonts w:eastAsia="TimesNewRomanMTStd" w:cstheme="majorBidi"/>
          <w:b/>
          <w:bCs/>
          <w:sz w:val="28"/>
          <w:szCs w:val="28"/>
        </w:rPr>
        <w:t>we found that the prevalence of CD</w:t>
      </w:r>
      <w:r w:rsidR="00CC3574">
        <w:rPr>
          <w:rFonts w:eastAsia="TimesNewRomanMTStd" w:cstheme="majorBidi"/>
          <w:b/>
          <w:bCs/>
          <w:sz w:val="28"/>
          <w:szCs w:val="28"/>
        </w:rPr>
        <w:t xml:space="preserve"> </w:t>
      </w:r>
      <w:r w:rsidRPr="00A961CA">
        <w:rPr>
          <w:rFonts w:eastAsia="TimesNewRomanMTStd" w:cstheme="majorBidi"/>
          <w:b/>
          <w:bCs/>
          <w:sz w:val="28"/>
          <w:szCs w:val="28"/>
        </w:rPr>
        <w:t xml:space="preserve">in IDA patients was 25.4% </w:t>
      </w:r>
      <w:r w:rsidR="00CC3574">
        <w:rPr>
          <w:rFonts w:eastAsia="TimesNewRomanMTStd" w:cstheme="majorBidi"/>
          <w:b/>
          <w:bCs/>
          <w:sz w:val="28"/>
          <w:szCs w:val="28"/>
        </w:rPr>
        <w:t xml:space="preserve"> and in all patients the prevalence was 4.4% in 2018 </w:t>
      </w:r>
      <w:r w:rsidRPr="00A961CA">
        <w:rPr>
          <w:rFonts w:eastAsia="TimesNewRomanMTStd" w:cstheme="majorBidi"/>
          <w:b/>
          <w:bCs/>
          <w:sz w:val="28"/>
          <w:szCs w:val="28"/>
        </w:rPr>
        <w:t>in this study, this outcomes</w:t>
      </w:r>
    </w:p>
    <w:p w:rsidR="008C6589" w:rsidRPr="00A961CA" w:rsidRDefault="008C6589" w:rsidP="008C6589">
      <w:pPr>
        <w:autoSpaceDE w:val="0"/>
        <w:autoSpaceDN w:val="0"/>
        <w:adjustRightInd w:val="0"/>
        <w:spacing w:after="0" w:line="240" w:lineRule="auto"/>
        <w:rPr>
          <w:rFonts w:eastAsia="TimesNewRomanMTStd" w:cstheme="majorBidi"/>
          <w:b/>
          <w:bCs/>
          <w:sz w:val="28"/>
          <w:szCs w:val="28"/>
        </w:rPr>
      </w:pPr>
      <w:r w:rsidRPr="00A961CA">
        <w:rPr>
          <w:rFonts w:eastAsia="TimesNewRomanMTStd" w:cstheme="majorBidi"/>
          <w:b/>
          <w:bCs/>
          <w:sz w:val="28"/>
          <w:szCs w:val="28"/>
        </w:rPr>
        <w:t>was obtained in conditions that the majority of patients</w:t>
      </w:r>
    </w:p>
    <w:p w:rsidR="008C6589" w:rsidRPr="00A961CA" w:rsidRDefault="008C6589" w:rsidP="008C6589">
      <w:pPr>
        <w:autoSpaceDE w:val="0"/>
        <w:autoSpaceDN w:val="0"/>
        <w:adjustRightInd w:val="0"/>
        <w:spacing w:after="0" w:line="240" w:lineRule="auto"/>
        <w:rPr>
          <w:rFonts w:eastAsia="TimesNewRomanMTStd" w:cstheme="majorBidi"/>
          <w:b/>
          <w:bCs/>
          <w:sz w:val="28"/>
          <w:szCs w:val="28"/>
        </w:rPr>
      </w:pPr>
      <w:r w:rsidRPr="00A961CA">
        <w:rPr>
          <w:rFonts w:eastAsia="TimesNewRomanMTStd" w:cstheme="majorBidi"/>
          <w:b/>
          <w:bCs/>
          <w:sz w:val="28"/>
          <w:szCs w:val="28"/>
        </w:rPr>
        <w:t>had not gastro intestinal symptoms. Therefore, serological</w:t>
      </w:r>
    </w:p>
    <w:p w:rsidR="008C6589" w:rsidRPr="00A961CA" w:rsidRDefault="008C6589" w:rsidP="008C6589">
      <w:pPr>
        <w:autoSpaceDE w:val="0"/>
        <w:autoSpaceDN w:val="0"/>
        <w:adjustRightInd w:val="0"/>
        <w:spacing w:after="0" w:line="240" w:lineRule="auto"/>
        <w:rPr>
          <w:rFonts w:eastAsia="TimesNewRomanMTStd" w:cstheme="majorBidi"/>
          <w:b/>
          <w:bCs/>
          <w:sz w:val="28"/>
          <w:szCs w:val="28"/>
        </w:rPr>
      </w:pPr>
      <w:r w:rsidRPr="00A961CA">
        <w:rPr>
          <w:rFonts w:eastAsia="TimesNewRomanMTStd" w:cstheme="majorBidi"/>
          <w:b/>
          <w:bCs/>
          <w:sz w:val="28"/>
          <w:szCs w:val="28"/>
        </w:rPr>
        <w:t>screening is recommended for early detection of CD in all</w:t>
      </w:r>
    </w:p>
    <w:p w:rsidR="008C6589" w:rsidRPr="00A961CA" w:rsidRDefault="008C6589" w:rsidP="008C6589">
      <w:pPr>
        <w:autoSpaceDE w:val="0"/>
        <w:autoSpaceDN w:val="0"/>
        <w:adjustRightInd w:val="0"/>
        <w:spacing w:after="0" w:line="240" w:lineRule="auto"/>
        <w:rPr>
          <w:rFonts w:eastAsia="TimesNewRomanMTStd" w:cstheme="majorBidi"/>
          <w:b/>
          <w:bCs/>
          <w:sz w:val="28"/>
          <w:szCs w:val="28"/>
        </w:rPr>
      </w:pPr>
      <w:r w:rsidRPr="00A961CA">
        <w:rPr>
          <w:rFonts w:eastAsia="TimesNewRomanMTStd" w:cstheme="majorBidi"/>
          <w:b/>
          <w:bCs/>
          <w:sz w:val="28"/>
          <w:szCs w:val="28"/>
        </w:rPr>
        <w:t>patients with u IDA. There are some important benefits</w:t>
      </w:r>
    </w:p>
    <w:p w:rsidR="008C6589" w:rsidRPr="00A961CA" w:rsidRDefault="008C6589" w:rsidP="008C6589">
      <w:pPr>
        <w:autoSpaceDE w:val="0"/>
        <w:autoSpaceDN w:val="0"/>
        <w:adjustRightInd w:val="0"/>
        <w:spacing w:after="0" w:line="240" w:lineRule="auto"/>
        <w:rPr>
          <w:rFonts w:eastAsia="TimesNewRomanMTStd" w:cstheme="majorBidi"/>
          <w:b/>
          <w:bCs/>
          <w:sz w:val="28"/>
          <w:szCs w:val="28"/>
        </w:rPr>
      </w:pPr>
      <w:r w:rsidRPr="00A961CA">
        <w:rPr>
          <w:rFonts w:eastAsia="TimesNewRomanMTStd" w:cstheme="majorBidi"/>
          <w:b/>
          <w:bCs/>
          <w:sz w:val="28"/>
          <w:szCs w:val="28"/>
        </w:rPr>
        <w:t>of CD screening in patients with IDA. It may prevent the</w:t>
      </w:r>
    </w:p>
    <w:p w:rsidR="008C6589" w:rsidRPr="00A961CA" w:rsidRDefault="008C6589" w:rsidP="008C6589">
      <w:pPr>
        <w:autoSpaceDE w:val="0"/>
        <w:autoSpaceDN w:val="0"/>
        <w:adjustRightInd w:val="0"/>
        <w:spacing w:after="0" w:line="240" w:lineRule="auto"/>
        <w:rPr>
          <w:rFonts w:eastAsia="TimesNewRomanMTStd" w:cstheme="majorBidi"/>
          <w:b/>
          <w:bCs/>
          <w:sz w:val="28"/>
          <w:szCs w:val="28"/>
        </w:rPr>
      </w:pPr>
      <w:r w:rsidRPr="00A961CA">
        <w:rPr>
          <w:rFonts w:eastAsia="TimesNewRomanMTStd" w:cstheme="majorBidi"/>
          <w:b/>
          <w:bCs/>
          <w:sz w:val="28"/>
          <w:szCs w:val="28"/>
        </w:rPr>
        <w:t>need for other often useless tests, treatment failure, and</w:t>
      </w:r>
    </w:p>
    <w:p w:rsidR="008C6589" w:rsidRPr="00A961CA" w:rsidRDefault="008C6589" w:rsidP="008C6589">
      <w:pPr>
        <w:autoSpaceDE w:val="0"/>
        <w:autoSpaceDN w:val="0"/>
        <w:adjustRightInd w:val="0"/>
        <w:spacing w:after="0" w:line="240" w:lineRule="auto"/>
        <w:rPr>
          <w:rFonts w:eastAsia="TimesNewRomanMTStd" w:cstheme="majorBidi"/>
          <w:b/>
          <w:bCs/>
          <w:sz w:val="28"/>
          <w:szCs w:val="28"/>
        </w:rPr>
      </w:pPr>
      <w:r w:rsidRPr="00A961CA">
        <w:rPr>
          <w:rFonts w:eastAsia="TimesNewRomanMTStd" w:cstheme="majorBidi"/>
          <w:b/>
          <w:bCs/>
          <w:sz w:val="28"/>
          <w:szCs w:val="28"/>
        </w:rPr>
        <w:t>intestinal lymphoma, since CD may easily be treated with</w:t>
      </w:r>
    </w:p>
    <w:p w:rsidR="00FF156C" w:rsidRPr="00A961CA" w:rsidRDefault="008C6589" w:rsidP="008C6589">
      <w:pPr>
        <w:rPr>
          <w:rFonts w:cstheme="majorBidi"/>
          <w:b/>
          <w:bCs/>
          <w:sz w:val="28"/>
          <w:szCs w:val="28"/>
        </w:rPr>
      </w:pPr>
      <w:r w:rsidRPr="00A961CA">
        <w:rPr>
          <w:rFonts w:eastAsia="TimesNewRomanMTStd" w:cstheme="majorBidi"/>
          <w:b/>
          <w:bCs/>
          <w:sz w:val="28"/>
          <w:szCs w:val="28"/>
        </w:rPr>
        <w:t>a gluten-free diet</w:t>
      </w:r>
      <w:r w:rsidRPr="00A961CA">
        <w:rPr>
          <w:rFonts w:eastAsia="TimesNewRomanMTStd" w:cs="TimesNewRomanMTStd"/>
          <w:sz w:val="20"/>
          <w:szCs w:val="20"/>
        </w:rPr>
        <w:t>.</w:t>
      </w:r>
      <w:r w:rsidR="00CC3574">
        <w:rPr>
          <w:rFonts w:cstheme="majorBidi"/>
          <w:b/>
          <w:bCs/>
          <w:sz w:val="28"/>
          <w:szCs w:val="28"/>
        </w:rPr>
        <w:t>.</w:t>
      </w:r>
    </w:p>
    <w:p w:rsidR="008C6589" w:rsidRPr="007E2719" w:rsidRDefault="008C6589" w:rsidP="007101FC">
      <w:pPr>
        <w:rPr>
          <w:rFonts w:asciiTheme="majorBidi" w:hAnsiTheme="majorBidi" w:cstheme="majorBidi"/>
          <w:b/>
          <w:bCs/>
          <w:sz w:val="28"/>
          <w:szCs w:val="28"/>
        </w:rPr>
      </w:pPr>
    </w:p>
    <w:p w:rsidR="007E21DF" w:rsidRPr="007E2719" w:rsidRDefault="007E21DF" w:rsidP="00345420">
      <w:pPr>
        <w:rPr>
          <w:rFonts w:asciiTheme="majorBidi" w:hAnsiTheme="majorBidi" w:cstheme="majorBidi"/>
          <w:b/>
          <w:bCs/>
          <w:sz w:val="28"/>
          <w:szCs w:val="28"/>
        </w:rPr>
      </w:pPr>
    </w:p>
    <w:p w:rsidR="00FF156C" w:rsidRPr="007E2719" w:rsidRDefault="00FF156C" w:rsidP="00FF156C">
      <w:pPr>
        <w:rPr>
          <w:rFonts w:asciiTheme="majorBidi" w:hAnsiTheme="majorBidi" w:cstheme="majorBidi"/>
          <w:b/>
          <w:bCs/>
          <w:sz w:val="28"/>
          <w:szCs w:val="28"/>
        </w:rPr>
      </w:pPr>
    </w:p>
    <w:p w:rsidR="00FF156C" w:rsidRPr="007E2719" w:rsidRDefault="00FF156C" w:rsidP="00FF156C">
      <w:pPr>
        <w:rPr>
          <w:rFonts w:asciiTheme="majorBidi" w:hAnsiTheme="majorBidi" w:cstheme="majorBidi"/>
          <w:b/>
          <w:bCs/>
          <w:sz w:val="28"/>
          <w:szCs w:val="28"/>
        </w:rPr>
      </w:pPr>
    </w:p>
    <w:p w:rsidR="00FF156C" w:rsidRDefault="00FF156C" w:rsidP="00FF156C">
      <w:pPr>
        <w:rPr>
          <w:rFonts w:asciiTheme="majorBidi" w:hAnsiTheme="majorBidi" w:cstheme="majorBidi"/>
          <w:b/>
          <w:bCs/>
          <w:sz w:val="28"/>
          <w:szCs w:val="28"/>
          <w:rtl/>
        </w:rPr>
      </w:pPr>
    </w:p>
    <w:p w:rsidR="006367C4" w:rsidRDefault="006367C4" w:rsidP="00FF156C">
      <w:pPr>
        <w:rPr>
          <w:rFonts w:asciiTheme="majorBidi" w:hAnsiTheme="majorBidi" w:cstheme="majorBidi"/>
          <w:b/>
          <w:bCs/>
          <w:sz w:val="28"/>
          <w:szCs w:val="28"/>
          <w:rtl/>
        </w:rPr>
      </w:pPr>
    </w:p>
    <w:p w:rsidR="006367C4" w:rsidRDefault="006367C4" w:rsidP="00FF156C">
      <w:pPr>
        <w:rPr>
          <w:rFonts w:asciiTheme="majorBidi" w:hAnsiTheme="majorBidi" w:cstheme="majorBidi"/>
          <w:b/>
          <w:bCs/>
          <w:sz w:val="28"/>
          <w:szCs w:val="28"/>
          <w:rtl/>
        </w:rPr>
      </w:pPr>
    </w:p>
    <w:p w:rsidR="006367C4" w:rsidRDefault="006367C4" w:rsidP="00FF156C">
      <w:pPr>
        <w:rPr>
          <w:rFonts w:asciiTheme="majorBidi" w:hAnsiTheme="majorBidi" w:cstheme="majorBidi"/>
          <w:b/>
          <w:bCs/>
          <w:sz w:val="28"/>
          <w:szCs w:val="28"/>
          <w:rtl/>
        </w:rPr>
      </w:pPr>
    </w:p>
    <w:p w:rsidR="006367C4" w:rsidRDefault="006367C4" w:rsidP="00FF156C">
      <w:pPr>
        <w:rPr>
          <w:rFonts w:asciiTheme="majorBidi" w:hAnsiTheme="majorBidi" w:cstheme="majorBidi"/>
          <w:b/>
          <w:bCs/>
          <w:sz w:val="28"/>
          <w:szCs w:val="28"/>
          <w:rtl/>
        </w:rPr>
      </w:pPr>
    </w:p>
    <w:p w:rsidR="006367C4" w:rsidRDefault="006367C4" w:rsidP="00FF156C">
      <w:pPr>
        <w:rPr>
          <w:rFonts w:asciiTheme="majorBidi" w:hAnsiTheme="majorBidi" w:cstheme="majorBidi"/>
          <w:b/>
          <w:bCs/>
          <w:sz w:val="28"/>
          <w:szCs w:val="28"/>
          <w:rtl/>
        </w:rPr>
      </w:pPr>
    </w:p>
    <w:p w:rsidR="006367C4" w:rsidRPr="007E2719" w:rsidRDefault="006367C4" w:rsidP="00FF156C">
      <w:pPr>
        <w:rPr>
          <w:rFonts w:asciiTheme="majorBidi" w:hAnsiTheme="majorBidi" w:cstheme="majorBidi"/>
          <w:b/>
          <w:bCs/>
          <w:sz w:val="28"/>
          <w:szCs w:val="28"/>
        </w:rPr>
      </w:pPr>
    </w:p>
    <w:p w:rsidR="00FF156C" w:rsidRPr="007E2719" w:rsidRDefault="00FF156C" w:rsidP="00FF156C">
      <w:pPr>
        <w:rPr>
          <w:rFonts w:asciiTheme="majorBidi" w:hAnsiTheme="majorBidi" w:cstheme="majorBidi"/>
          <w:b/>
          <w:bCs/>
          <w:sz w:val="28"/>
          <w:szCs w:val="28"/>
        </w:rPr>
      </w:pPr>
    </w:p>
    <w:p w:rsidR="00FF156C" w:rsidRDefault="00FF156C" w:rsidP="00FF156C">
      <w:pPr>
        <w:rPr>
          <w:rFonts w:asciiTheme="majorBidi" w:hAnsiTheme="majorBidi" w:cstheme="majorBidi"/>
          <w:b/>
          <w:bCs/>
          <w:sz w:val="28"/>
          <w:szCs w:val="28"/>
        </w:rPr>
      </w:pPr>
    </w:p>
    <w:p w:rsidR="00CC3574" w:rsidRDefault="00CC3574" w:rsidP="00FF156C">
      <w:pPr>
        <w:rPr>
          <w:rFonts w:asciiTheme="majorBidi" w:hAnsiTheme="majorBidi" w:cstheme="majorBidi"/>
          <w:b/>
          <w:bCs/>
          <w:i/>
          <w:iCs/>
          <w:color w:val="C00000"/>
          <w:sz w:val="36"/>
          <w:szCs w:val="36"/>
        </w:rPr>
      </w:pPr>
    </w:p>
    <w:p w:rsidR="00B16012" w:rsidRPr="00B16012" w:rsidRDefault="00B16012" w:rsidP="00FF156C">
      <w:pPr>
        <w:rPr>
          <w:b/>
          <w:bCs/>
          <w:i/>
          <w:iCs/>
          <w:color w:val="C00000"/>
          <w:sz w:val="36"/>
          <w:szCs w:val="36"/>
        </w:rPr>
      </w:pPr>
      <w:r w:rsidRPr="00B16012">
        <w:rPr>
          <w:rFonts w:asciiTheme="majorBidi" w:hAnsiTheme="majorBidi" w:cstheme="majorBidi"/>
          <w:b/>
          <w:bCs/>
          <w:i/>
          <w:iCs/>
          <w:color w:val="C00000"/>
          <w:sz w:val="36"/>
          <w:szCs w:val="36"/>
        </w:rPr>
        <w:lastRenderedPageBreak/>
        <w:t>references</w:t>
      </w:r>
    </w:p>
    <w:p w:rsidR="00B16012" w:rsidRPr="00641E56" w:rsidRDefault="00365FBF" w:rsidP="00C51F61">
      <w:pPr>
        <w:pStyle w:val="FootnoteText"/>
        <w:rPr>
          <w:sz w:val="28"/>
          <w:szCs w:val="28"/>
        </w:rPr>
      </w:pPr>
      <w:r w:rsidRPr="00641E56">
        <w:rPr>
          <w:sz w:val="28"/>
          <w:szCs w:val="28"/>
          <w:lang w:val="fr-FR"/>
        </w:rPr>
        <w:t>1.</w:t>
      </w:r>
      <w:r w:rsidR="00B16012" w:rsidRPr="00641E56">
        <w:rPr>
          <w:sz w:val="28"/>
          <w:szCs w:val="28"/>
          <w:lang w:val="fr-FR"/>
        </w:rPr>
        <w:t xml:space="preserve">. Ludvigsson JF, Leffler DA, Bai JC, et al. </w:t>
      </w:r>
      <w:r w:rsidR="00B16012" w:rsidRPr="00641E56">
        <w:rPr>
          <w:sz w:val="28"/>
          <w:szCs w:val="28"/>
        </w:rPr>
        <w:t>The Oslodefinitions for coeliac disease and related terms. Gut 2013;</w:t>
      </w:r>
    </w:p>
    <w:p w:rsidR="00B16012" w:rsidRPr="00641E56" w:rsidRDefault="00B16012" w:rsidP="00B16012">
      <w:pPr>
        <w:pStyle w:val="FootnoteText"/>
        <w:rPr>
          <w:sz w:val="28"/>
          <w:szCs w:val="28"/>
        </w:rPr>
      </w:pPr>
      <w:r w:rsidRPr="00641E56">
        <w:rPr>
          <w:sz w:val="28"/>
          <w:szCs w:val="28"/>
        </w:rPr>
        <w:t>62:43-52..</w:t>
      </w:r>
    </w:p>
    <w:p w:rsidR="00B16012" w:rsidRPr="00641E56" w:rsidRDefault="00365FBF" w:rsidP="00C51F61">
      <w:pPr>
        <w:pStyle w:val="FootnoteText"/>
        <w:rPr>
          <w:sz w:val="28"/>
          <w:szCs w:val="28"/>
        </w:rPr>
      </w:pPr>
      <w:r w:rsidRPr="00641E56">
        <w:rPr>
          <w:sz w:val="28"/>
          <w:szCs w:val="28"/>
        </w:rPr>
        <w:t>2</w:t>
      </w:r>
      <w:r w:rsidRPr="00641E56">
        <w:rPr>
          <w:rStyle w:val="FootnoteReference"/>
          <w:sz w:val="28"/>
          <w:szCs w:val="28"/>
        </w:rPr>
        <w:t xml:space="preserve"> .</w:t>
      </w:r>
      <w:r w:rsidR="00B16012" w:rsidRPr="00641E56">
        <w:rPr>
          <w:sz w:val="28"/>
          <w:szCs w:val="28"/>
        </w:rPr>
        <w:t>. Farrell RJ, Kelly CP. Celiac sprue. N Engl J Med 2002;</w:t>
      </w:r>
      <w:r w:rsidR="00B16012" w:rsidRPr="00641E56">
        <w:rPr>
          <w:sz w:val="28"/>
          <w:szCs w:val="28"/>
          <w:lang w:val="fr-FR"/>
        </w:rPr>
        <w:t>346:180-8..</w:t>
      </w:r>
    </w:p>
    <w:p w:rsidR="00C51F61" w:rsidRPr="00641E56" w:rsidRDefault="00C51F61" w:rsidP="00C51F61">
      <w:pPr>
        <w:pStyle w:val="FootnoteText"/>
        <w:rPr>
          <w:sz w:val="28"/>
          <w:szCs w:val="28"/>
        </w:rPr>
      </w:pPr>
    </w:p>
    <w:p w:rsidR="00B16012" w:rsidRPr="00641E56" w:rsidRDefault="00365FBF" w:rsidP="00C51F61">
      <w:pPr>
        <w:pStyle w:val="FootnoteText"/>
        <w:rPr>
          <w:sz w:val="28"/>
          <w:szCs w:val="28"/>
        </w:rPr>
      </w:pPr>
      <w:r w:rsidRPr="00641E56">
        <w:rPr>
          <w:sz w:val="28"/>
          <w:szCs w:val="28"/>
        </w:rPr>
        <w:t>3.</w:t>
      </w:r>
      <w:r w:rsidRPr="00641E56">
        <w:rPr>
          <w:rStyle w:val="FootnoteReference"/>
          <w:sz w:val="28"/>
          <w:szCs w:val="28"/>
        </w:rPr>
        <w:t>.</w:t>
      </w:r>
      <w:r w:rsidR="00B16012" w:rsidRPr="00641E56">
        <w:rPr>
          <w:sz w:val="28"/>
          <w:szCs w:val="28"/>
          <w:lang w:val="fr-FR"/>
        </w:rPr>
        <w:t xml:space="preserve"> Ludvigsson JF, Leffler DA, Bai JC, et al. </w:t>
      </w:r>
      <w:r w:rsidR="00B16012" w:rsidRPr="00641E56">
        <w:rPr>
          <w:sz w:val="28"/>
          <w:szCs w:val="28"/>
        </w:rPr>
        <w:t>The Oslo definitions for coeliac diseaseand related terms. Gut 2013;62:43–52  .</w:t>
      </w:r>
    </w:p>
    <w:p w:rsidR="00365FBF" w:rsidRPr="00641E56" w:rsidRDefault="00365FBF" w:rsidP="00B16012">
      <w:pPr>
        <w:pStyle w:val="FootnoteText"/>
        <w:rPr>
          <w:sz w:val="28"/>
          <w:szCs w:val="28"/>
        </w:rPr>
      </w:pPr>
    </w:p>
    <w:p w:rsidR="00B16012" w:rsidRPr="00641E56" w:rsidRDefault="00365FBF" w:rsidP="00C51F61">
      <w:pPr>
        <w:pStyle w:val="FootnoteText"/>
        <w:rPr>
          <w:sz w:val="28"/>
          <w:szCs w:val="28"/>
        </w:rPr>
      </w:pPr>
      <w:r w:rsidRPr="00641E56">
        <w:rPr>
          <w:sz w:val="28"/>
          <w:szCs w:val="28"/>
        </w:rPr>
        <w:t>4.</w:t>
      </w:r>
      <w:r w:rsidR="00B16012" w:rsidRPr="00641E56">
        <w:rPr>
          <w:sz w:val="28"/>
          <w:szCs w:val="28"/>
        </w:rPr>
        <w:t>Rampertab SD, Pooran N, Brar P, et al. Trends in the presentation of celiacdi</w:t>
      </w:r>
      <w:r w:rsidR="00C51F61" w:rsidRPr="00641E56">
        <w:rPr>
          <w:sz w:val="28"/>
          <w:szCs w:val="28"/>
        </w:rPr>
        <w:t>sease. Am J Med 2006;119:355 e9 -</w:t>
      </w:r>
      <w:r w:rsidR="00B16012" w:rsidRPr="00641E56">
        <w:rPr>
          <w:sz w:val="28"/>
          <w:szCs w:val="28"/>
        </w:rPr>
        <w:t xml:space="preserve">14.. </w:t>
      </w:r>
    </w:p>
    <w:p w:rsidR="00C51F61" w:rsidRPr="00641E56" w:rsidRDefault="00C51F61" w:rsidP="00C51F61">
      <w:pPr>
        <w:pStyle w:val="FootnoteText"/>
        <w:rPr>
          <w:sz w:val="28"/>
          <w:szCs w:val="28"/>
        </w:rPr>
      </w:pPr>
    </w:p>
    <w:p w:rsidR="00B16012" w:rsidRPr="00641E56" w:rsidRDefault="00365FBF" w:rsidP="00C51F61">
      <w:pPr>
        <w:pStyle w:val="FootnoteText"/>
        <w:rPr>
          <w:sz w:val="28"/>
          <w:szCs w:val="28"/>
        </w:rPr>
      </w:pPr>
      <w:r w:rsidRPr="00641E56">
        <w:rPr>
          <w:sz w:val="28"/>
          <w:szCs w:val="28"/>
        </w:rPr>
        <w:t>5.</w:t>
      </w:r>
      <w:r w:rsidR="00B16012" w:rsidRPr="00641E56">
        <w:rPr>
          <w:sz w:val="28"/>
          <w:szCs w:val="28"/>
          <w:lang w:val="fr-FR"/>
        </w:rPr>
        <w:t xml:space="preserve">Bergamaschi G, Markopoulos K, Albertini R, et al. </w:t>
      </w:r>
      <w:r w:rsidR="00B16012" w:rsidRPr="00641E56">
        <w:rPr>
          <w:sz w:val="28"/>
          <w:szCs w:val="28"/>
        </w:rPr>
        <w:t xml:space="preserve">Anemia of chronic disease anddefective erythropoietin production in patients with celiac disease. Haematologica2008;93:1785–91  </w:t>
      </w:r>
    </w:p>
    <w:p w:rsidR="00C51F61" w:rsidRPr="00641E56" w:rsidRDefault="00C51F61" w:rsidP="00C51F61">
      <w:pPr>
        <w:pStyle w:val="FootnoteText"/>
        <w:rPr>
          <w:sz w:val="28"/>
          <w:szCs w:val="28"/>
        </w:rPr>
      </w:pPr>
    </w:p>
    <w:p w:rsidR="00B16012" w:rsidRPr="00641E56" w:rsidRDefault="00365FBF" w:rsidP="00C51F61">
      <w:pPr>
        <w:pStyle w:val="FootnoteText"/>
        <w:rPr>
          <w:sz w:val="28"/>
          <w:szCs w:val="28"/>
        </w:rPr>
      </w:pPr>
      <w:r w:rsidRPr="00641E56">
        <w:rPr>
          <w:sz w:val="28"/>
          <w:szCs w:val="28"/>
        </w:rPr>
        <w:t>6.</w:t>
      </w:r>
      <w:r w:rsidR="00B16012" w:rsidRPr="00641E56">
        <w:rPr>
          <w:sz w:val="28"/>
          <w:szCs w:val="28"/>
        </w:rPr>
        <w:t>Rubin CE, Brandborg LL, Taylor HC Jr. Studies of celiacdisease: I. The apparent identical and specific nature of the</w:t>
      </w:r>
    </w:p>
    <w:p w:rsidR="00B16012" w:rsidRPr="00641E56" w:rsidRDefault="00B16012" w:rsidP="00C51F61">
      <w:pPr>
        <w:pStyle w:val="FootnoteText"/>
        <w:rPr>
          <w:sz w:val="28"/>
          <w:szCs w:val="28"/>
        </w:rPr>
      </w:pPr>
      <w:r w:rsidRPr="00641E56">
        <w:rPr>
          <w:sz w:val="28"/>
          <w:szCs w:val="28"/>
        </w:rPr>
        <w:t xml:space="preserve">duodenal and proximal jejunal lesion in celiac disease andidiopathic sprue. Gastroenterology 1960; 38:28-49  </w:t>
      </w:r>
    </w:p>
    <w:p w:rsidR="00C51F61" w:rsidRPr="00641E56" w:rsidRDefault="00C51F61" w:rsidP="008A67F7">
      <w:pPr>
        <w:pStyle w:val="FootnoteText"/>
        <w:rPr>
          <w:sz w:val="28"/>
          <w:szCs w:val="28"/>
        </w:rPr>
      </w:pPr>
    </w:p>
    <w:p w:rsidR="00B16012" w:rsidRPr="00641E56" w:rsidRDefault="00365FBF" w:rsidP="008A67F7">
      <w:pPr>
        <w:pStyle w:val="FootnoteText"/>
        <w:rPr>
          <w:sz w:val="28"/>
          <w:szCs w:val="28"/>
        </w:rPr>
      </w:pPr>
      <w:r w:rsidRPr="00641E56">
        <w:rPr>
          <w:sz w:val="28"/>
          <w:szCs w:val="28"/>
        </w:rPr>
        <w:t>7.</w:t>
      </w:r>
      <w:r w:rsidR="00B16012" w:rsidRPr="00641E56">
        <w:rPr>
          <w:sz w:val="28"/>
          <w:szCs w:val="28"/>
        </w:rPr>
        <w:t xml:space="preserve">.Fasano A, Catassi C. Current approaches to diagnosis and treatment of celiacdisease: an evolving spectrum. Gastroenterology. 2001;120(3):636–51 </w:t>
      </w:r>
    </w:p>
    <w:p w:rsidR="00C51F61" w:rsidRPr="00641E56" w:rsidRDefault="00C51F61" w:rsidP="00C51F61">
      <w:pPr>
        <w:pStyle w:val="FootnoteText"/>
        <w:rPr>
          <w:sz w:val="28"/>
          <w:szCs w:val="28"/>
        </w:rPr>
      </w:pPr>
    </w:p>
    <w:p w:rsidR="00B16012" w:rsidRPr="00641E56" w:rsidRDefault="00365FBF" w:rsidP="00C51F61">
      <w:pPr>
        <w:pStyle w:val="FootnoteText"/>
        <w:rPr>
          <w:sz w:val="28"/>
          <w:szCs w:val="28"/>
        </w:rPr>
      </w:pPr>
      <w:r w:rsidRPr="00641E56">
        <w:rPr>
          <w:sz w:val="28"/>
          <w:szCs w:val="28"/>
        </w:rPr>
        <w:t>8.</w:t>
      </w:r>
      <w:r w:rsidR="00B16012" w:rsidRPr="00641E56">
        <w:rPr>
          <w:sz w:val="28"/>
          <w:szCs w:val="28"/>
        </w:rPr>
        <w:t xml:space="preserve">Hin H, Bird G, Fisher P, et al. Coeliac disease in primarycare: case finding study. BMJ 1999; 318:164–7  </w:t>
      </w:r>
    </w:p>
    <w:p w:rsidR="008A67F7" w:rsidRPr="00641E56" w:rsidRDefault="008A67F7" w:rsidP="008A67F7">
      <w:pPr>
        <w:pStyle w:val="FootnoteText"/>
        <w:rPr>
          <w:sz w:val="28"/>
          <w:szCs w:val="28"/>
        </w:rPr>
      </w:pPr>
    </w:p>
    <w:p w:rsidR="00B16012" w:rsidRPr="00641E56" w:rsidRDefault="00365FBF" w:rsidP="008A67F7">
      <w:pPr>
        <w:pStyle w:val="FootnoteText"/>
        <w:rPr>
          <w:sz w:val="28"/>
          <w:szCs w:val="28"/>
        </w:rPr>
      </w:pPr>
      <w:r w:rsidRPr="00641E56">
        <w:rPr>
          <w:sz w:val="28"/>
          <w:szCs w:val="28"/>
        </w:rPr>
        <w:t>9</w:t>
      </w:r>
      <w:r w:rsidR="00B16012" w:rsidRPr="00641E56">
        <w:rPr>
          <w:sz w:val="28"/>
          <w:szCs w:val="28"/>
        </w:rPr>
        <w:t xml:space="preserve">.Cluysenaer </w:t>
      </w:r>
      <w:r w:rsidR="008A67F7" w:rsidRPr="00641E56">
        <w:rPr>
          <w:sz w:val="28"/>
          <w:szCs w:val="28"/>
        </w:rPr>
        <w:t>OJJ, vanTongerenJHM. MalabsorP</w:t>
      </w:r>
      <w:r w:rsidR="00B16012" w:rsidRPr="00641E56">
        <w:rPr>
          <w:sz w:val="28"/>
          <w:szCs w:val="28"/>
        </w:rPr>
        <w:t xml:space="preserve">tionin celiac sprue. The Hague: MartinusNijhoff, 1977 </w:t>
      </w:r>
    </w:p>
    <w:p w:rsidR="008A67F7" w:rsidRPr="00641E56" w:rsidRDefault="008A67F7" w:rsidP="008A67F7">
      <w:pPr>
        <w:pStyle w:val="FootnoteText"/>
        <w:rPr>
          <w:sz w:val="28"/>
          <w:szCs w:val="28"/>
        </w:rPr>
      </w:pPr>
    </w:p>
    <w:p w:rsidR="00B16012" w:rsidRPr="00641E56" w:rsidRDefault="00365FBF" w:rsidP="008A67F7">
      <w:pPr>
        <w:pStyle w:val="FootnoteText"/>
        <w:rPr>
          <w:sz w:val="28"/>
          <w:szCs w:val="28"/>
        </w:rPr>
      </w:pPr>
      <w:r w:rsidRPr="00641E56">
        <w:rPr>
          <w:sz w:val="28"/>
          <w:szCs w:val="28"/>
        </w:rPr>
        <w:t>10</w:t>
      </w:r>
      <w:r w:rsidR="00B16012" w:rsidRPr="00641E56">
        <w:rPr>
          <w:sz w:val="28"/>
          <w:szCs w:val="28"/>
        </w:rPr>
        <w:t>. Carroccio A, Iannitto E, Cavataio F, Montalto G,</w:t>
      </w:r>
      <w:r w:rsidR="00B16012" w:rsidRPr="00641E56">
        <w:rPr>
          <w:sz w:val="28"/>
          <w:szCs w:val="28"/>
          <w:lang w:val="fr-FR"/>
        </w:rPr>
        <w:t xml:space="preserve">Tumminello M, Campagna P et al. </w:t>
      </w:r>
      <w:r w:rsidR="00B16012" w:rsidRPr="00641E56">
        <w:rPr>
          <w:sz w:val="28"/>
          <w:szCs w:val="28"/>
        </w:rPr>
        <w:t>Sideropenic anemia</w:t>
      </w:r>
    </w:p>
    <w:p w:rsidR="006977B7" w:rsidRPr="00641E56" w:rsidRDefault="00B16012" w:rsidP="008A67F7">
      <w:pPr>
        <w:pStyle w:val="FootnoteText"/>
        <w:rPr>
          <w:sz w:val="28"/>
          <w:szCs w:val="28"/>
        </w:rPr>
      </w:pPr>
      <w:r w:rsidRPr="00641E56">
        <w:rPr>
          <w:sz w:val="28"/>
          <w:szCs w:val="28"/>
        </w:rPr>
        <w:t>and celiac disease: one study, two points of view.Dig Dis Sci 1998;43:673–8</w:t>
      </w:r>
    </w:p>
    <w:p w:rsidR="006977B7" w:rsidRPr="00641E56" w:rsidRDefault="006977B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lastRenderedPageBreak/>
        <w:t>11.</w:t>
      </w:r>
      <w:r w:rsidR="00B16012" w:rsidRPr="00641E56">
        <w:rPr>
          <w:sz w:val="28"/>
          <w:szCs w:val="28"/>
        </w:rPr>
        <w:t>Hoffbrand AV. Anemia in adult celiac disease. ClinGastroenterol 1974;3:71-89</w:t>
      </w:r>
      <w:r w:rsidR="00B16012" w:rsidRPr="00641E56">
        <w:rPr>
          <w:rStyle w:val="FootnoteReference"/>
          <w:sz w:val="28"/>
          <w:szCs w:val="28"/>
        </w:rPr>
        <w:footnoteRef/>
      </w:r>
      <w:r w:rsidR="00B16012" w:rsidRPr="00641E56">
        <w:rPr>
          <w:sz w:val="28"/>
          <w:szCs w:val="28"/>
        </w:rPr>
        <w:t xml:space="preserve"> . </w:t>
      </w:r>
    </w:p>
    <w:p w:rsidR="008A67F7" w:rsidRPr="00641E56" w:rsidRDefault="008A67F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12</w:t>
      </w:r>
      <w:r w:rsidR="00B16012" w:rsidRPr="00641E56">
        <w:rPr>
          <w:sz w:val="28"/>
          <w:szCs w:val="28"/>
        </w:rPr>
        <w:t xml:space="preserve">.Goddard AF, McIntyre AS, Scott BB. Guidelines forthe management of iron deficiency anaemia. BritishSociety of Gastroenterology. Gut 2000; 46(IV):1–5 </w:t>
      </w:r>
    </w:p>
    <w:p w:rsidR="008A67F7" w:rsidRPr="00641E56" w:rsidRDefault="008A67F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13</w:t>
      </w:r>
      <w:r w:rsidR="00B16012" w:rsidRPr="00641E56">
        <w:rPr>
          <w:sz w:val="28"/>
          <w:szCs w:val="28"/>
        </w:rPr>
        <w:t>. O’Grady JG, Stevens FM, Harding B, et al. Hyposplenismand gluten-sensitive enteropathy: Natural history,</w:t>
      </w:r>
    </w:p>
    <w:p w:rsidR="00B16012" w:rsidRPr="00641E56" w:rsidRDefault="00B16012" w:rsidP="008A67F7">
      <w:pPr>
        <w:pStyle w:val="FootnoteText"/>
        <w:rPr>
          <w:sz w:val="28"/>
          <w:szCs w:val="28"/>
        </w:rPr>
      </w:pPr>
      <w:r w:rsidRPr="00641E56">
        <w:rPr>
          <w:sz w:val="28"/>
          <w:szCs w:val="28"/>
        </w:rPr>
        <w:t>incidence, and relationship to diet and small bowelmorphology. Gastroenterology 1984; 87:1326-31.</w:t>
      </w:r>
    </w:p>
    <w:p w:rsidR="00B16012" w:rsidRPr="00641E56" w:rsidRDefault="00B16012" w:rsidP="00B16012">
      <w:pPr>
        <w:pStyle w:val="FootnoteText"/>
        <w:rPr>
          <w:sz w:val="28"/>
          <w:szCs w:val="28"/>
        </w:rPr>
      </w:pPr>
    </w:p>
    <w:p w:rsidR="00B16012" w:rsidRPr="00641E56" w:rsidRDefault="006977B7" w:rsidP="00B16012">
      <w:pPr>
        <w:pStyle w:val="FootnoteText"/>
        <w:rPr>
          <w:sz w:val="28"/>
          <w:szCs w:val="28"/>
        </w:rPr>
      </w:pPr>
      <w:r w:rsidRPr="00641E56">
        <w:rPr>
          <w:sz w:val="28"/>
          <w:szCs w:val="28"/>
        </w:rPr>
        <w:t>14</w:t>
      </w:r>
      <w:r w:rsidR="00B16012" w:rsidRPr="00641E56">
        <w:rPr>
          <w:sz w:val="28"/>
          <w:szCs w:val="28"/>
        </w:rPr>
        <w:t>. Goddard AF et al. (2011) Guidelines for the management of iron deficiency anaemia.</w:t>
      </w:r>
    </w:p>
    <w:p w:rsidR="00B16012" w:rsidRPr="00641E56" w:rsidRDefault="00B16012" w:rsidP="00B16012">
      <w:pPr>
        <w:pStyle w:val="FootnoteText"/>
        <w:rPr>
          <w:sz w:val="28"/>
          <w:szCs w:val="28"/>
        </w:rPr>
      </w:pPr>
    </w:p>
    <w:p w:rsidR="00B16012" w:rsidRPr="00641E56" w:rsidRDefault="006977B7" w:rsidP="008A67F7">
      <w:pPr>
        <w:pStyle w:val="FootnoteText"/>
        <w:rPr>
          <w:sz w:val="28"/>
          <w:szCs w:val="28"/>
        </w:rPr>
      </w:pPr>
      <w:r w:rsidRPr="00641E56">
        <w:rPr>
          <w:sz w:val="28"/>
          <w:szCs w:val="28"/>
        </w:rPr>
        <w:t>15</w:t>
      </w:r>
      <w:r w:rsidR="00365FBF" w:rsidRPr="00641E56">
        <w:rPr>
          <w:sz w:val="28"/>
          <w:szCs w:val="28"/>
        </w:rPr>
        <w:t>.</w:t>
      </w:r>
      <w:r w:rsidR="00B16012" w:rsidRPr="00641E56">
        <w:rPr>
          <w:sz w:val="28"/>
          <w:szCs w:val="28"/>
          <w:lang w:val="fr-FR"/>
        </w:rPr>
        <w:t xml:space="preserve">Ludvigsson J F et al. </w:t>
      </w:r>
      <w:r w:rsidR="00B16012" w:rsidRPr="00641E56">
        <w:rPr>
          <w:sz w:val="28"/>
          <w:szCs w:val="28"/>
        </w:rPr>
        <w:t>(2013) Use of computerised algorithm to identify individuals in need to testing for coeliac disease, J Am Med InformAssoc 20: e2; e306-e310</w:t>
      </w:r>
    </w:p>
    <w:p w:rsidR="00B16012" w:rsidRPr="00641E56" w:rsidRDefault="00B16012" w:rsidP="00B16012">
      <w:pPr>
        <w:pStyle w:val="FootnoteText"/>
        <w:rPr>
          <w:sz w:val="28"/>
          <w:szCs w:val="28"/>
        </w:rPr>
      </w:pPr>
    </w:p>
    <w:p w:rsidR="00B16012" w:rsidRPr="00641E56" w:rsidRDefault="006977B7" w:rsidP="006977B7">
      <w:pPr>
        <w:pStyle w:val="FootnoteText"/>
        <w:rPr>
          <w:sz w:val="28"/>
          <w:szCs w:val="28"/>
        </w:rPr>
      </w:pPr>
      <w:r w:rsidRPr="00641E56">
        <w:rPr>
          <w:sz w:val="28"/>
          <w:szCs w:val="28"/>
        </w:rPr>
        <w:t>16.</w:t>
      </w:r>
      <w:r w:rsidR="00B16012" w:rsidRPr="00641E56">
        <w:rPr>
          <w:sz w:val="28"/>
          <w:szCs w:val="28"/>
        </w:rPr>
        <w:t>NICE Guideline NG20 Coeliac disease: recognition, assessment and management, September 2015.</w:t>
      </w:r>
    </w:p>
    <w:p w:rsidR="008A67F7" w:rsidRPr="00641E56" w:rsidRDefault="008A67F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17</w:t>
      </w:r>
      <w:r w:rsidR="00B16012" w:rsidRPr="00641E56">
        <w:rPr>
          <w:sz w:val="28"/>
          <w:szCs w:val="28"/>
        </w:rPr>
        <w:t>. Ackerman, Z, Eliakim, R, Stalnikowica, R,Rachmilewitz, D. Role of small bowel biopsy in the</w:t>
      </w:r>
    </w:p>
    <w:p w:rsidR="00B16012" w:rsidRPr="00641E56" w:rsidRDefault="00B16012" w:rsidP="00365FBF">
      <w:pPr>
        <w:pStyle w:val="FootnoteText"/>
        <w:rPr>
          <w:sz w:val="28"/>
          <w:szCs w:val="28"/>
        </w:rPr>
      </w:pPr>
      <w:r w:rsidRPr="00641E56">
        <w:rPr>
          <w:sz w:val="28"/>
          <w:szCs w:val="28"/>
        </w:rPr>
        <w:t>endoscopic evaluation of adults with iron deficiencyanemia. Am J Gastroenterol 1996; 91: 2099</w:t>
      </w:r>
    </w:p>
    <w:p w:rsidR="00B16012" w:rsidRPr="00641E56" w:rsidRDefault="006977B7" w:rsidP="008A67F7">
      <w:pPr>
        <w:pStyle w:val="FootnoteText"/>
        <w:rPr>
          <w:sz w:val="28"/>
          <w:szCs w:val="28"/>
        </w:rPr>
      </w:pPr>
      <w:r w:rsidRPr="00641E56">
        <w:rPr>
          <w:sz w:val="28"/>
          <w:szCs w:val="28"/>
        </w:rPr>
        <w:t>18</w:t>
      </w:r>
      <w:r w:rsidR="00365FBF" w:rsidRPr="00641E56">
        <w:rPr>
          <w:sz w:val="28"/>
          <w:szCs w:val="28"/>
        </w:rPr>
        <w:t>.</w:t>
      </w:r>
      <w:r w:rsidR="00B16012" w:rsidRPr="00641E56">
        <w:rPr>
          <w:sz w:val="28"/>
          <w:szCs w:val="28"/>
        </w:rPr>
        <w:t xml:space="preserve">Goddard AF, McIntyre AS, Scott BB. Guidelines for themanagement of iron deficiency anaemia. British Society ofGastroenterology. Gut 2000; 46 (Suppl 3-4): IV1-IV5. Erratumin: Gut 2000 Dec; 47: 872.. </w:t>
      </w:r>
    </w:p>
    <w:p w:rsidR="008A67F7" w:rsidRPr="00641E56" w:rsidRDefault="008A67F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19</w:t>
      </w:r>
      <w:r w:rsidR="00365FBF" w:rsidRPr="00641E56">
        <w:rPr>
          <w:sz w:val="28"/>
          <w:szCs w:val="28"/>
        </w:rPr>
        <w:t>.</w:t>
      </w:r>
      <w:r w:rsidR="00B16012" w:rsidRPr="00641E56">
        <w:rPr>
          <w:sz w:val="28"/>
          <w:szCs w:val="28"/>
        </w:rPr>
        <w:t xml:space="preserve">Frenz MB, MeeAS.Making the diagnosis of </w:t>
      </w:r>
      <w:r w:rsidR="008A67F7" w:rsidRPr="00641E56">
        <w:rPr>
          <w:sz w:val="28"/>
          <w:szCs w:val="28"/>
        </w:rPr>
        <w:t xml:space="preserve">celiac </w:t>
      </w:r>
      <w:r w:rsidR="00B16012" w:rsidRPr="00641E56">
        <w:rPr>
          <w:sz w:val="28"/>
          <w:szCs w:val="28"/>
        </w:rPr>
        <w:t xml:space="preserve">disease: is there a role for push enteroscopy?Eur J GastroenterolHepatol 2004, 16:1127–9. </w:t>
      </w:r>
    </w:p>
    <w:p w:rsidR="008A67F7" w:rsidRPr="00641E56" w:rsidRDefault="008A67F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20</w:t>
      </w:r>
      <w:r w:rsidR="00B16012" w:rsidRPr="00641E56">
        <w:rPr>
          <w:sz w:val="28"/>
          <w:szCs w:val="28"/>
        </w:rPr>
        <w:t>.Shan L, Molberg O, Parrot I, Hausch F, Filiz F, GrayGM et al. Structural basis for gluten intolerance inceliac sprue. Science 2002; 297:2275–9</w:t>
      </w:r>
    </w:p>
    <w:p w:rsidR="008A67F7" w:rsidRPr="00641E56" w:rsidRDefault="008A67F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lastRenderedPageBreak/>
        <w:t>21</w:t>
      </w:r>
      <w:r w:rsidR="00B16012" w:rsidRPr="00641E56">
        <w:rPr>
          <w:sz w:val="28"/>
          <w:szCs w:val="28"/>
        </w:rPr>
        <w:t>. Fernández-Bañares F, Monzón H, Forné M. A short reviewof malabsorption and anemia. World J Gastroenterol 2009;15: 4644-52. Review.</w:t>
      </w:r>
    </w:p>
    <w:p w:rsidR="008A67F7" w:rsidRPr="00641E56" w:rsidRDefault="008A67F7" w:rsidP="008A67F7">
      <w:pPr>
        <w:pStyle w:val="FootnoteText"/>
        <w:rPr>
          <w:sz w:val="28"/>
          <w:szCs w:val="28"/>
        </w:rPr>
      </w:pPr>
    </w:p>
    <w:p w:rsidR="00B16012" w:rsidRPr="00641E56" w:rsidRDefault="006977B7" w:rsidP="008A67F7">
      <w:pPr>
        <w:pStyle w:val="FootnoteText"/>
        <w:rPr>
          <w:sz w:val="28"/>
          <w:szCs w:val="28"/>
          <w:lang w:val="fr-FR"/>
        </w:rPr>
      </w:pPr>
      <w:r w:rsidRPr="00641E56">
        <w:rPr>
          <w:sz w:val="28"/>
          <w:szCs w:val="28"/>
        </w:rPr>
        <w:t>22</w:t>
      </w:r>
      <w:r w:rsidR="00B16012" w:rsidRPr="00641E56">
        <w:rPr>
          <w:sz w:val="28"/>
          <w:szCs w:val="28"/>
        </w:rPr>
        <w:t>. Zamani F, Mohamadnejad M, Shakeri R, et al. Gluten sensitiveenteropathy in patients with iron deficiency anemiaof unknown origin. World J Gastroenterol 2008; 14: 7381-</w:t>
      </w:r>
      <w:r w:rsidR="00B16012" w:rsidRPr="00641E56">
        <w:rPr>
          <w:sz w:val="28"/>
          <w:szCs w:val="28"/>
          <w:lang w:val="fr-FR"/>
        </w:rPr>
        <w:t xml:space="preserve">5. </w:t>
      </w:r>
    </w:p>
    <w:p w:rsidR="008A67F7" w:rsidRPr="00641E56" w:rsidRDefault="008A67F7" w:rsidP="008A67F7">
      <w:pPr>
        <w:pStyle w:val="FootnoteText"/>
        <w:rPr>
          <w:sz w:val="28"/>
          <w:szCs w:val="28"/>
        </w:rPr>
      </w:pPr>
    </w:p>
    <w:p w:rsidR="00B16012" w:rsidRPr="00641E56" w:rsidRDefault="006977B7" w:rsidP="00365FBF">
      <w:pPr>
        <w:pStyle w:val="FootnoteText"/>
        <w:rPr>
          <w:sz w:val="28"/>
          <w:szCs w:val="28"/>
        </w:rPr>
      </w:pPr>
      <w:r w:rsidRPr="00641E56">
        <w:rPr>
          <w:sz w:val="28"/>
          <w:szCs w:val="28"/>
        </w:rPr>
        <w:t>23</w:t>
      </w:r>
      <w:r w:rsidR="00B16012" w:rsidRPr="00641E56">
        <w:rPr>
          <w:sz w:val="28"/>
          <w:szCs w:val="28"/>
          <w:lang w:val="fr-FR"/>
        </w:rPr>
        <w:t xml:space="preserve">. Corazza GR, Valentini RA, Andreani ML, et al. </w:t>
      </w:r>
      <w:r w:rsidR="00B16012" w:rsidRPr="00641E56">
        <w:rPr>
          <w:sz w:val="28"/>
          <w:szCs w:val="28"/>
        </w:rPr>
        <w:t>Subclinicalcoeliac disease is a frequent cause of iron-deficiency anaemia.Scand J Gastroenterol 1995; 30: 153-6</w:t>
      </w:r>
    </w:p>
    <w:p w:rsidR="00B16012" w:rsidRPr="00641E56" w:rsidRDefault="00B16012" w:rsidP="00B16012">
      <w:pPr>
        <w:pStyle w:val="FootnoteText"/>
        <w:rPr>
          <w:sz w:val="28"/>
          <w:szCs w:val="28"/>
        </w:rPr>
      </w:pPr>
    </w:p>
    <w:p w:rsidR="00B16012" w:rsidRPr="00641E56" w:rsidRDefault="006977B7" w:rsidP="008A67F7">
      <w:pPr>
        <w:pStyle w:val="FootnoteText"/>
        <w:rPr>
          <w:sz w:val="28"/>
          <w:szCs w:val="28"/>
        </w:rPr>
      </w:pPr>
      <w:r w:rsidRPr="00641E56">
        <w:rPr>
          <w:sz w:val="28"/>
          <w:szCs w:val="28"/>
        </w:rPr>
        <w:t>24</w:t>
      </w:r>
      <w:r w:rsidR="00B16012" w:rsidRPr="00641E56">
        <w:rPr>
          <w:sz w:val="28"/>
          <w:szCs w:val="28"/>
        </w:rPr>
        <w:t>. Karnam US, Felder LR, Raskin JB. Prevalence of occult celiacdisease in patients with iron-deficiency anemia: a prospectivestudy. South Med J 2004; 97: 30-4.</w:t>
      </w:r>
    </w:p>
    <w:p w:rsidR="00B16012" w:rsidRPr="00641E56" w:rsidRDefault="00B16012" w:rsidP="00B16012">
      <w:pPr>
        <w:pStyle w:val="FootnoteText"/>
        <w:rPr>
          <w:sz w:val="28"/>
          <w:szCs w:val="28"/>
        </w:rPr>
      </w:pPr>
    </w:p>
    <w:p w:rsidR="00B16012" w:rsidRPr="00641E56" w:rsidRDefault="006977B7" w:rsidP="008A67F7">
      <w:pPr>
        <w:pStyle w:val="FootnoteText"/>
        <w:rPr>
          <w:sz w:val="28"/>
          <w:szCs w:val="28"/>
        </w:rPr>
      </w:pPr>
      <w:r w:rsidRPr="00641E56">
        <w:rPr>
          <w:sz w:val="28"/>
          <w:szCs w:val="28"/>
        </w:rPr>
        <w:t>25</w:t>
      </w:r>
      <w:r w:rsidR="00B16012" w:rsidRPr="00641E56">
        <w:rPr>
          <w:sz w:val="28"/>
          <w:szCs w:val="28"/>
        </w:rPr>
        <w:t>. Carroccio A, Iannitto E, Cavataio F, et al. Sideropenic anemiaand celiac disease: one study, two points of view. DigDis Sci 1998; 43: 673-8</w:t>
      </w:r>
    </w:p>
    <w:p w:rsidR="00B16012" w:rsidRPr="00641E56" w:rsidRDefault="00B16012" w:rsidP="00B16012">
      <w:pPr>
        <w:pStyle w:val="FootnoteText"/>
        <w:rPr>
          <w:sz w:val="28"/>
          <w:szCs w:val="28"/>
        </w:rPr>
      </w:pPr>
    </w:p>
    <w:p w:rsidR="00B16012" w:rsidRPr="00641E56" w:rsidRDefault="006977B7" w:rsidP="008A67F7">
      <w:pPr>
        <w:pStyle w:val="FootnoteText"/>
        <w:rPr>
          <w:sz w:val="28"/>
          <w:szCs w:val="28"/>
        </w:rPr>
      </w:pPr>
      <w:r w:rsidRPr="00641E56">
        <w:rPr>
          <w:sz w:val="28"/>
          <w:szCs w:val="28"/>
        </w:rPr>
        <w:t>26</w:t>
      </w:r>
      <w:r w:rsidR="00B16012" w:rsidRPr="00641E56">
        <w:rPr>
          <w:sz w:val="28"/>
          <w:szCs w:val="28"/>
        </w:rPr>
        <w:t>. Leffler DA , Schuppan D . Update on serologic testing in celiac disease .Am J Ga</w:t>
      </w:r>
      <w:r w:rsidR="008A67F7" w:rsidRPr="00641E56">
        <w:rPr>
          <w:sz w:val="28"/>
          <w:szCs w:val="28"/>
        </w:rPr>
        <w:t>stroenterol 2010 ; 105 : 2520 -</w:t>
      </w:r>
      <w:r w:rsidR="00B16012" w:rsidRPr="00641E56">
        <w:rPr>
          <w:sz w:val="28"/>
          <w:szCs w:val="28"/>
        </w:rPr>
        <w:t>4 .</w:t>
      </w:r>
    </w:p>
    <w:p w:rsidR="006977B7" w:rsidRPr="00641E56" w:rsidRDefault="006977B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27</w:t>
      </w:r>
      <w:r w:rsidR="00B16012" w:rsidRPr="00641E56">
        <w:rPr>
          <w:sz w:val="28"/>
          <w:szCs w:val="28"/>
        </w:rPr>
        <w:t>. Farrell RJ, Kelly CP. Diagnosis of celiac sprue. Am JGastroenterol 2001; 96:3237–46</w:t>
      </w:r>
    </w:p>
    <w:p w:rsidR="00B16012" w:rsidRPr="00641E56" w:rsidRDefault="006977B7" w:rsidP="008A67F7">
      <w:pPr>
        <w:pStyle w:val="FootnoteText"/>
        <w:rPr>
          <w:sz w:val="28"/>
          <w:szCs w:val="28"/>
        </w:rPr>
      </w:pPr>
      <w:r w:rsidRPr="00641E56">
        <w:rPr>
          <w:sz w:val="28"/>
          <w:szCs w:val="28"/>
        </w:rPr>
        <w:t>28</w:t>
      </w:r>
      <w:r w:rsidR="00B16012" w:rsidRPr="00641E56">
        <w:rPr>
          <w:sz w:val="28"/>
          <w:szCs w:val="28"/>
        </w:rPr>
        <w:t>. Marsh MN. Gluten, major histocompatibility complexand the small intestine: a molecular andimmunobiologic approach to the spectrum of glutensensitivity (“celiac sprue”). Gastroenterology1992;102:330-54</w:t>
      </w:r>
    </w:p>
    <w:p w:rsidR="006977B7" w:rsidRPr="00641E56" w:rsidRDefault="006977B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29</w:t>
      </w:r>
      <w:r w:rsidR="00B16012" w:rsidRPr="00641E56">
        <w:rPr>
          <w:sz w:val="28"/>
          <w:szCs w:val="28"/>
        </w:rPr>
        <w:t>. Oberhuber G, Granditsch G, Vogelsang H. The histopathologyof celiac disease: time for a standardizedreport scheme for pathologists. Eur J GastroenterolHepatol 1999; 11:1185–94</w:t>
      </w:r>
    </w:p>
    <w:p w:rsidR="00B16012" w:rsidRPr="00641E56" w:rsidRDefault="006977B7" w:rsidP="008A67F7">
      <w:pPr>
        <w:pStyle w:val="FootnoteText"/>
        <w:rPr>
          <w:sz w:val="28"/>
          <w:szCs w:val="28"/>
        </w:rPr>
      </w:pPr>
      <w:r w:rsidRPr="00641E56">
        <w:rPr>
          <w:sz w:val="28"/>
          <w:szCs w:val="28"/>
        </w:rPr>
        <w:t>30</w:t>
      </w:r>
      <w:r w:rsidR="00B16012" w:rsidRPr="00641E56">
        <w:rPr>
          <w:sz w:val="28"/>
          <w:szCs w:val="28"/>
        </w:rPr>
        <w:t xml:space="preserve">.Marsh M, Crowe P: Morphology of the mucosal lesionin gluten sensitivity. Bailliere’s ClinicalGastroenterol 1995; 9:273–93 </w:t>
      </w:r>
    </w:p>
    <w:p w:rsidR="006977B7" w:rsidRPr="00641E56" w:rsidRDefault="006977B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31</w:t>
      </w:r>
      <w:r w:rsidR="00B16012" w:rsidRPr="00641E56">
        <w:rPr>
          <w:sz w:val="28"/>
          <w:szCs w:val="28"/>
        </w:rPr>
        <w:t>. Hammer ST, Greenson JK. The clinical significance of duodenal lymphocytosis withnormal villus architecture. Arch Pathol Lab Med 2013;137:1216–19.</w:t>
      </w:r>
    </w:p>
    <w:p w:rsidR="006977B7" w:rsidRPr="00641E56" w:rsidRDefault="006977B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lastRenderedPageBreak/>
        <w:t>32</w:t>
      </w:r>
      <w:r w:rsidR="00365FBF" w:rsidRPr="00641E56">
        <w:rPr>
          <w:sz w:val="28"/>
          <w:szCs w:val="28"/>
        </w:rPr>
        <w:t>.</w:t>
      </w:r>
      <w:r w:rsidR="00B16012" w:rsidRPr="00641E56">
        <w:rPr>
          <w:sz w:val="28"/>
          <w:szCs w:val="28"/>
        </w:rPr>
        <w:t>Walker MM, Murray JA, Ronkainen J, et al. Detection of celiac disease andlymphocytic enteropathy by parallel serology and histopathology in apopulation-based study. Gastroenterology 2010;139:112–19.</w:t>
      </w:r>
    </w:p>
    <w:p w:rsidR="006977B7" w:rsidRPr="00641E56" w:rsidRDefault="006977B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33</w:t>
      </w:r>
      <w:r w:rsidR="00365FBF" w:rsidRPr="00641E56">
        <w:rPr>
          <w:sz w:val="28"/>
          <w:szCs w:val="28"/>
        </w:rPr>
        <w:t>.</w:t>
      </w:r>
      <w:r w:rsidR="00B16012" w:rsidRPr="00641E56">
        <w:rPr>
          <w:sz w:val="28"/>
          <w:szCs w:val="28"/>
        </w:rPr>
        <w:t>Brown I, Mino-Kenudson M, Deshpande V, et al. Intraepithelial lymphocytosis inarchitecturally preserved proximal small intestinal mucosa: an increasing diagnostic</w:t>
      </w:r>
    </w:p>
    <w:p w:rsidR="00B16012" w:rsidRPr="00641E56" w:rsidRDefault="00B16012" w:rsidP="008A67F7">
      <w:pPr>
        <w:pStyle w:val="FootnoteText"/>
        <w:rPr>
          <w:sz w:val="28"/>
          <w:szCs w:val="28"/>
        </w:rPr>
      </w:pPr>
      <w:r w:rsidRPr="00641E56">
        <w:rPr>
          <w:sz w:val="28"/>
          <w:szCs w:val="28"/>
        </w:rPr>
        <w:t>problem with a wide differential diagnosis. Arch Pathol Lab Med2006;130:1020–5.</w:t>
      </w:r>
    </w:p>
    <w:p w:rsidR="006977B7" w:rsidRPr="00641E56" w:rsidRDefault="006977B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34</w:t>
      </w:r>
      <w:r w:rsidR="00365FBF" w:rsidRPr="00641E56">
        <w:rPr>
          <w:sz w:val="28"/>
          <w:szCs w:val="28"/>
        </w:rPr>
        <w:t>.</w:t>
      </w:r>
      <w:r w:rsidR="00B16012" w:rsidRPr="00641E56">
        <w:rPr>
          <w:sz w:val="28"/>
          <w:szCs w:val="28"/>
        </w:rPr>
        <w:t xml:space="preserve">Rubio-Tapia A, Murray JA. Classification and management of refractory </w:t>
      </w:r>
      <w:r w:rsidR="008A67F7" w:rsidRPr="00641E56">
        <w:rPr>
          <w:sz w:val="28"/>
          <w:szCs w:val="28"/>
        </w:rPr>
        <w:t xml:space="preserve">celiac </w:t>
      </w:r>
      <w:r w:rsidR="00B16012" w:rsidRPr="00641E56">
        <w:rPr>
          <w:sz w:val="28"/>
          <w:szCs w:val="28"/>
          <w:lang w:val="fr-FR"/>
        </w:rPr>
        <w:t xml:space="preserve">disease. Gut 2010;59:547–57.. </w:t>
      </w:r>
    </w:p>
    <w:p w:rsidR="006977B7" w:rsidRPr="00641E56" w:rsidRDefault="006977B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35</w:t>
      </w:r>
      <w:r w:rsidR="00B16012" w:rsidRPr="00641E56">
        <w:rPr>
          <w:sz w:val="28"/>
          <w:szCs w:val="28"/>
          <w:lang w:val="fr-FR"/>
        </w:rPr>
        <w:t xml:space="preserve">. Arguelles-Grande C, Tennyson CA, Lewis SK, et al. </w:t>
      </w:r>
      <w:r w:rsidR="00B16012" w:rsidRPr="00641E56">
        <w:rPr>
          <w:sz w:val="28"/>
          <w:szCs w:val="28"/>
        </w:rPr>
        <w:t xml:space="preserve">Variability in small bowelhistopathology reporting between different pathology practice settings: impact onthe diagnosis of coeliac disease. </w:t>
      </w:r>
      <w:r w:rsidR="00B16012" w:rsidRPr="00641E56">
        <w:rPr>
          <w:sz w:val="28"/>
          <w:szCs w:val="28"/>
          <w:lang w:val="fr-FR"/>
        </w:rPr>
        <w:t>J Clin Pathol 2012;65:242–7.</w:t>
      </w:r>
    </w:p>
    <w:p w:rsidR="006977B7" w:rsidRPr="00641E56" w:rsidRDefault="006977B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36</w:t>
      </w:r>
      <w:r w:rsidR="00B16012" w:rsidRPr="00641E56">
        <w:rPr>
          <w:sz w:val="28"/>
          <w:szCs w:val="28"/>
          <w:lang w:val="fr-FR"/>
        </w:rPr>
        <w:t xml:space="preserve">. Villanacci V, Ceppa P, Tavani E, et al. </w:t>
      </w:r>
      <w:r w:rsidR="00B16012" w:rsidRPr="00641E56">
        <w:rPr>
          <w:sz w:val="28"/>
          <w:szCs w:val="28"/>
        </w:rPr>
        <w:t>Coeliac disease: the histology report. Dig</w:t>
      </w:r>
      <w:r w:rsidRPr="00641E56">
        <w:rPr>
          <w:sz w:val="28"/>
          <w:szCs w:val="28"/>
        </w:rPr>
        <w:t xml:space="preserve">Liver Dis </w:t>
      </w:r>
      <w:r w:rsidR="00B16012" w:rsidRPr="00641E56">
        <w:rPr>
          <w:sz w:val="28"/>
          <w:szCs w:val="28"/>
        </w:rPr>
        <w:t>2011;43(Suppl 4):S385–95.</w:t>
      </w:r>
    </w:p>
    <w:p w:rsidR="006977B7" w:rsidRPr="00641E56" w:rsidRDefault="006977B7" w:rsidP="008A67F7">
      <w:pPr>
        <w:pStyle w:val="FootnoteText"/>
        <w:rPr>
          <w:sz w:val="28"/>
          <w:szCs w:val="28"/>
        </w:rPr>
      </w:pPr>
    </w:p>
    <w:p w:rsidR="006977B7" w:rsidRPr="00641E56" w:rsidRDefault="006977B7" w:rsidP="008A67F7">
      <w:pPr>
        <w:pStyle w:val="FootnoteText"/>
        <w:rPr>
          <w:sz w:val="28"/>
          <w:szCs w:val="28"/>
        </w:rPr>
      </w:pPr>
      <w:r w:rsidRPr="00641E56">
        <w:rPr>
          <w:sz w:val="28"/>
          <w:szCs w:val="28"/>
        </w:rPr>
        <w:t>37</w:t>
      </w:r>
      <w:r w:rsidR="00B16012" w:rsidRPr="00641E56">
        <w:rPr>
          <w:sz w:val="28"/>
          <w:szCs w:val="28"/>
        </w:rPr>
        <w:t>.Ensari A. Gluten-sensitive enteropathy (celiac disease): controversies in diagnosis</w:t>
      </w:r>
      <w:r w:rsidRPr="00641E56">
        <w:rPr>
          <w:sz w:val="28"/>
          <w:szCs w:val="28"/>
        </w:rPr>
        <w:t>and</w:t>
      </w:r>
    </w:p>
    <w:p w:rsidR="00B16012" w:rsidRPr="00641E56" w:rsidRDefault="00B16012" w:rsidP="008A67F7">
      <w:pPr>
        <w:pStyle w:val="FootnoteText"/>
        <w:rPr>
          <w:sz w:val="28"/>
          <w:szCs w:val="28"/>
        </w:rPr>
      </w:pPr>
      <w:r w:rsidRPr="00641E56">
        <w:rPr>
          <w:sz w:val="28"/>
          <w:szCs w:val="28"/>
        </w:rPr>
        <w:t xml:space="preserve">classification. Arch Pathol Lab Med 2010;134:826–36 </w:t>
      </w:r>
    </w:p>
    <w:p w:rsidR="006977B7" w:rsidRPr="00641E56" w:rsidRDefault="006977B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38</w:t>
      </w:r>
      <w:r w:rsidR="00365FBF" w:rsidRPr="00641E56">
        <w:rPr>
          <w:sz w:val="28"/>
          <w:szCs w:val="28"/>
        </w:rPr>
        <w:t>.</w:t>
      </w:r>
      <w:r w:rsidR="00B16012" w:rsidRPr="00641E56">
        <w:rPr>
          <w:sz w:val="28"/>
          <w:szCs w:val="28"/>
        </w:rPr>
        <w:t>Schuppan D. Novel concepts of celiac disease pathogenesis.</w:t>
      </w:r>
      <w:r w:rsidRPr="00641E56">
        <w:rPr>
          <w:sz w:val="28"/>
          <w:szCs w:val="28"/>
        </w:rPr>
        <w:t xml:space="preserve">Gastroenterol 2000; 119: 234-42 </w:t>
      </w:r>
    </w:p>
    <w:p w:rsidR="006977B7" w:rsidRPr="00641E56" w:rsidRDefault="006977B7" w:rsidP="008A67F7">
      <w:pPr>
        <w:pStyle w:val="FootnoteText"/>
        <w:rPr>
          <w:sz w:val="28"/>
          <w:szCs w:val="28"/>
        </w:rPr>
      </w:pPr>
    </w:p>
    <w:p w:rsidR="00B16012" w:rsidRPr="00641E56" w:rsidRDefault="006977B7" w:rsidP="008A67F7">
      <w:pPr>
        <w:pStyle w:val="FootnoteText"/>
        <w:rPr>
          <w:sz w:val="28"/>
          <w:szCs w:val="28"/>
        </w:rPr>
      </w:pPr>
      <w:r w:rsidRPr="00641E56">
        <w:rPr>
          <w:sz w:val="28"/>
          <w:szCs w:val="28"/>
        </w:rPr>
        <w:t>39</w:t>
      </w:r>
      <w:r w:rsidR="00365FBF" w:rsidRPr="00641E56">
        <w:rPr>
          <w:sz w:val="28"/>
          <w:szCs w:val="28"/>
        </w:rPr>
        <w:t>.</w:t>
      </w:r>
      <w:r w:rsidR="00B16012" w:rsidRPr="00641E56">
        <w:rPr>
          <w:sz w:val="28"/>
          <w:szCs w:val="28"/>
        </w:rPr>
        <w:t xml:space="preserve">Ciclitira PJ, King AL, Fraser JS. AGA technical reviewon celiac sprue. American Gastroenterological Association.Gastroenterol 2001; 120:1526–40 .. </w:t>
      </w:r>
    </w:p>
    <w:p w:rsidR="00FF156C" w:rsidRPr="00641E56" w:rsidRDefault="00FF156C" w:rsidP="00FF156C">
      <w:pPr>
        <w:rPr>
          <w:sz w:val="28"/>
          <w:szCs w:val="28"/>
        </w:rPr>
      </w:pPr>
    </w:p>
    <w:p w:rsidR="00FF156C" w:rsidRPr="00641E56" w:rsidRDefault="00FF156C" w:rsidP="00FF156C">
      <w:pPr>
        <w:rPr>
          <w:sz w:val="28"/>
          <w:szCs w:val="28"/>
        </w:rPr>
      </w:pPr>
    </w:p>
    <w:p w:rsidR="00FF156C" w:rsidRPr="00641E56" w:rsidRDefault="00FF156C" w:rsidP="00FF156C">
      <w:pPr>
        <w:rPr>
          <w:sz w:val="28"/>
          <w:szCs w:val="28"/>
        </w:rPr>
      </w:pPr>
    </w:p>
    <w:p w:rsidR="00FF156C" w:rsidRPr="00641E56" w:rsidRDefault="00FF156C" w:rsidP="00FF156C">
      <w:pPr>
        <w:rPr>
          <w:sz w:val="28"/>
          <w:szCs w:val="28"/>
        </w:rPr>
      </w:pPr>
    </w:p>
    <w:p w:rsidR="00FF156C" w:rsidRPr="00641E56" w:rsidRDefault="00FF156C" w:rsidP="00FF156C">
      <w:pPr>
        <w:rPr>
          <w:sz w:val="28"/>
          <w:szCs w:val="28"/>
        </w:rPr>
      </w:pPr>
    </w:p>
    <w:p w:rsidR="00FF156C" w:rsidRPr="00641E56" w:rsidRDefault="00FF156C" w:rsidP="00FF156C">
      <w:pPr>
        <w:rPr>
          <w:sz w:val="28"/>
          <w:szCs w:val="28"/>
        </w:rPr>
      </w:pPr>
    </w:p>
    <w:p w:rsidR="00FF156C" w:rsidRPr="00641E56" w:rsidRDefault="00FF156C" w:rsidP="00FF156C">
      <w:pPr>
        <w:rPr>
          <w:sz w:val="28"/>
          <w:szCs w:val="28"/>
        </w:rPr>
      </w:pPr>
    </w:p>
    <w:p w:rsidR="00FF156C" w:rsidRPr="00641E56"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Default="00FF156C" w:rsidP="00FF156C">
      <w:pPr>
        <w:rPr>
          <w:sz w:val="28"/>
          <w:szCs w:val="28"/>
        </w:rPr>
      </w:pPr>
    </w:p>
    <w:p w:rsidR="00FF156C" w:rsidRPr="00FF156C" w:rsidRDefault="00FF156C" w:rsidP="00FF156C">
      <w:pPr>
        <w:rPr>
          <w:sz w:val="28"/>
          <w:szCs w:val="28"/>
        </w:rPr>
      </w:pPr>
    </w:p>
    <w:sectPr w:rsidR="00FF156C" w:rsidRPr="00FF156C" w:rsidSect="00F4338D">
      <w:headerReference w:type="default" r:id="rId15"/>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894" w:rsidRDefault="00BB7894" w:rsidP="00FF156C">
      <w:pPr>
        <w:spacing w:after="0" w:line="240" w:lineRule="auto"/>
      </w:pPr>
      <w:r>
        <w:separator/>
      </w:r>
    </w:p>
  </w:endnote>
  <w:endnote w:type="continuationSeparator" w:id="0">
    <w:p w:rsidR="00BB7894" w:rsidRDefault="00BB7894" w:rsidP="00FF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TT31c3bb">
    <w:altName w:val="Times New Roman"/>
    <w:charset w:val="00"/>
    <w:family w:val="auto"/>
    <w:notTrueType/>
    <w:pitch w:val="default"/>
    <w:sig w:usb0="00000003" w:usb1="00000000" w:usb2="00000000" w:usb3="00000000" w:csb0="00000001" w:csb1="00000000"/>
  </w:font>
  <w:font w:name="MSTT31c3a3">
    <w:altName w:val="Times New Roman"/>
    <w:charset w:val="00"/>
    <w:family w:val="auto"/>
    <w:notTrueType/>
    <w:pitch w:val="default"/>
    <w:sig w:usb0="00000003" w:usb1="00000000" w:usb2="00000000" w:usb3="00000000" w:csb0="00000001" w:csb1="00000000"/>
  </w:font>
  <w:font w:name="TimesNewRomanMTStd">
    <w:altName w:val="MS Mincho"/>
    <w:charset w:val="80"/>
    <w:family w:val="roman"/>
    <w:notTrueType/>
    <w:pitch w:val="default"/>
    <w:sig w:usb0="00000001" w:usb1="08070000" w:usb2="00000010" w:usb3="00000000" w:csb0="00020000" w:csb1="00000000"/>
  </w:font>
  <w:font w:name="HelveticaLTStd-Bold">
    <w:altName w:val="Arial"/>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2F" w:rsidRDefault="000C19BF" w:rsidP="000C19BF">
    <w:pPr>
      <w:pStyle w:val="Footer"/>
      <w:tabs>
        <w:tab w:val="clear" w:pos="4680"/>
        <w:tab w:val="clear" w:pos="9360"/>
        <w:tab w:val="left" w:pos="3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894" w:rsidRDefault="00BB7894" w:rsidP="00FF156C">
      <w:pPr>
        <w:spacing w:after="0" w:line="240" w:lineRule="auto"/>
      </w:pPr>
      <w:r>
        <w:separator/>
      </w:r>
    </w:p>
  </w:footnote>
  <w:footnote w:type="continuationSeparator" w:id="0">
    <w:p w:rsidR="00BB7894" w:rsidRDefault="00BB7894" w:rsidP="00FF156C">
      <w:pPr>
        <w:spacing w:after="0" w:line="240" w:lineRule="auto"/>
      </w:pPr>
      <w:r>
        <w:continuationSeparator/>
      </w:r>
    </w:p>
  </w:footnote>
  <w:footnote w:id="1">
    <w:p w:rsidR="001B062F" w:rsidRDefault="001B062F" w:rsidP="00A40D6B">
      <w:pPr>
        <w:pStyle w:val="FootnoteText"/>
      </w:pPr>
    </w:p>
  </w:footnote>
  <w:footnote w:id="2">
    <w:p w:rsidR="001B062F" w:rsidRPr="00A40D6B" w:rsidRDefault="001B062F" w:rsidP="00A40D6B">
      <w:pPr>
        <w:pStyle w:val="FootnoteText"/>
      </w:pPr>
    </w:p>
  </w:footnote>
  <w:footnote w:id="3">
    <w:p w:rsidR="001B062F" w:rsidRDefault="001B062F" w:rsidP="00A40D6B">
      <w:pPr>
        <w:pStyle w:val="FootnoteText"/>
      </w:pPr>
    </w:p>
    <w:p w:rsidR="001B062F" w:rsidRDefault="001B062F" w:rsidP="001835B2">
      <w:pPr>
        <w:pStyle w:val="FootnoteText"/>
      </w:pPr>
    </w:p>
  </w:footnote>
  <w:footnote w:id="4">
    <w:p w:rsidR="001B062F" w:rsidRDefault="001B062F" w:rsidP="00A40D6B">
      <w:pPr>
        <w:pStyle w:val="FootnoteText"/>
      </w:pPr>
    </w:p>
  </w:footnote>
  <w:footnote w:id="5">
    <w:p w:rsidR="001B062F" w:rsidRDefault="001B062F" w:rsidP="00A40D6B">
      <w:pPr>
        <w:pStyle w:val="FootnoteText"/>
      </w:pPr>
    </w:p>
  </w:footnote>
  <w:footnote w:id="6">
    <w:p w:rsidR="001B062F" w:rsidRDefault="001B062F" w:rsidP="00A40D6B">
      <w:pPr>
        <w:pStyle w:val="FootnoteText"/>
      </w:pPr>
    </w:p>
  </w:footnote>
  <w:footnote w:id="7">
    <w:p w:rsidR="001B062F" w:rsidRDefault="001B062F" w:rsidP="00A40D6B">
      <w:pPr>
        <w:pStyle w:val="FootnoteText"/>
      </w:pPr>
    </w:p>
  </w:footnote>
  <w:footnote w:id="8">
    <w:p w:rsidR="001B062F" w:rsidRDefault="001B062F" w:rsidP="00A40D6B">
      <w:pPr>
        <w:pStyle w:val="FootnoteText"/>
      </w:pPr>
    </w:p>
  </w:footnote>
  <w:footnote w:id="9">
    <w:p w:rsidR="001B062F" w:rsidRDefault="001B062F" w:rsidP="00A40D6B">
      <w:pPr>
        <w:pStyle w:val="FootnoteText"/>
      </w:pPr>
    </w:p>
  </w:footnote>
  <w:footnote w:id="10">
    <w:p w:rsidR="001B062F" w:rsidRDefault="001B062F" w:rsidP="00A40D6B">
      <w:pPr>
        <w:pStyle w:val="FootnoteText"/>
      </w:pPr>
    </w:p>
  </w:footnote>
  <w:footnote w:id="11">
    <w:p w:rsidR="001B062F" w:rsidRDefault="001B062F" w:rsidP="00A40D6B">
      <w:pPr>
        <w:pStyle w:val="FootnoteText"/>
      </w:pPr>
    </w:p>
  </w:footnote>
  <w:footnote w:id="12">
    <w:p w:rsidR="001B062F" w:rsidRDefault="001B062F" w:rsidP="00A40D6B">
      <w:pPr>
        <w:pStyle w:val="FootnoteText"/>
      </w:pPr>
    </w:p>
  </w:footnote>
  <w:footnote w:id="13">
    <w:p w:rsidR="001B062F" w:rsidRDefault="001B062F" w:rsidP="00A40D6B">
      <w:pPr>
        <w:pStyle w:val="FootnoteText"/>
      </w:pPr>
    </w:p>
    <w:p w:rsidR="001B062F" w:rsidRDefault="001B062F" w:rsidP="00AD2199">
      <w:pPr>
        <w:pStyle w:val="FootnoteText"/>
      </w:pPr>
    </w:p>
  </w:footnote>
  <w:footnote w:id="14">
    <w:p w:rsidR="001B062F" w:rsidRPr="00F145D5" w:rsidRDefault="001B062F" w:rsidP="00F145D5">
      <w:pPr>
        <w:pStyle w:val="FootnoteText"/>
      </w:pPr>
      <w:r w:rsidRPr="00F145D5">
        <w:t>.</w:t>
      </w:r>
    </w:p>
    <w:p w:rsidR="001B062F" w:rsidRDefault="001B062F" w:rsidP="00AD2199">
      <w:pPr>
        <w:pStyle w:val="FootnoteText"/>
      </w:pPr>
    </w:p>
  </w:footnote>
  <w:footnote w:id="15">
    <w:p w:rsidR="001B062F" w:rsidRDefault="001B062F" w:rsidP="00A40D6B">
      <w:pPr>
        <w:pStyle w:val="FootnoteText"/>
      </w:pPr>
    </w:p>
    <w:p w:rsidR="001B062F" w:rsidRDefault="001B062F">
      <w:pPr>
        <w:pStyle w:val="FootnoteText"/>
      </w:pPr>
    </w:p>
  </w:footnote>
  <w:footnote w:id="16">
    <w:p w:rsidR="001B062F" w:rsidRDefault="001B062F">
      <w:pPr>
        <w:pStyle w:val="FootnoteText"/>
      </w:pPr>
    </w:p>
  </w:footnote>
  <w:footnote w:id="17">
    <w:p w:rsidR="001B062F" w:rsidRDefault="001B062F" w:rsidP="00A40D6B">
      <w:pPr>
        <w:pStyle w:val="FootnoteText"/>
      </w:pPr>
    </w:p>
  </w:footnote>
  <w:footnote w:id="18">
    <w:p w:rsidR="001B062F" w:rsidRDefault="001B062F" w:rsidP="00A40D6B">
      <w:pPr>
        <w:pStyle w:val="FootnoteText"/>
      </w:pPr>
    </w:p>
  </w:footnote>
  <w:footnote w:id="19">
    <w:p w:rsidR="001B062F" w:rsidRDefault="001B062F" w:rsidP="00A40D6B">
      <w:pPr>
        <w:pStyle w:val="FootnoteText"/>
      </w:pPr>
      <w:r>
        <w:t xml:space="preserve">. </w:t>
      </w:r>
    </w:p>
  </w:footnote>
  <w:footnote w:id="20">
    <w:p w:rsidR="001B062F" w:rsidRDefault="001B062F" w:rsidP="00A40D6B">
      <w:pPr>
        <w:pStyle w:val="FootnoteText"/>
      </w:pPr>
    </w:p>
  </w:footnote>
  <w:footnote w:id="21">
    <w:p w:rsidR="001B062F" w:rsidRDefault="001B062F" w:rsidP="00A40D6B">
      <w:pPr>
        <w:pStyle w:val="FootnoteText"/>
      </w:pPr>
    </w:p>
  </w:footnote>
  <w:footnote w:id="22">
    <w:p w:rsidR="001B062F" w:rsidRPr="00A40D6B" w:rsidRDefault="001B062F" w:rsidP="00A40D6B">
      <w:pPr>
        <w:pStyle w:val="FootnoteText"/>
      </w:pPr>
      <w:r w:rsidRPr="005955DA">
        <w:rPr>
          <w:lang w:val="fr-FR"/>
        </w:rPr>
        <w:t xml:space="preserve">. </w:t>
      </w:r>
    </w:p>
  </w:footnote>
  <w:footnote w:id="23">
    <w:p w:rsidR="001B062F" w:rsidRDefault="001B062F" w:rsidP="00A40D6B">
      <w:pPr>
        <w:pStyle w:val="FootnoteText"/>
      </w:pPr>
    </w:p>
    <w:p w:rsidR="001B062F" w:rsidRDefault="001B062F" w:rsidP="00345420">
      <w:pPr>
        <w:pStyle w:val="FootnoteText"/>
      </w:pPr>
    </w:p>
  </w:footnote>
  <w:footnote w:id="24">
    <w:p w:rsidR="001B062F" w:rsidRDefault="001B062F" w:rsidP="00A40D6B">
      <w:pPr>
        <w:pStyle w:val="FootnoteText"/>
      </w:pPr>
    </w:p>
    <w:p w:rsidR="001B062F" w:rsidRDefault="001B062F" w:rsidP="00345420">
      <w:pPr>
        <w:pStyle w:val="FootnoteText"/>
      </w:pPr>
    </w:p>
  </w:footnote>
  <w:footnote w:id="25">
    <w:p w:rsidR="001B062F" w:rsidRDefault="001B062F" w:rsidP="00A40D6B">
      <w:pPr>
        <w:pStyle w:val="FootnoteText"/>
      </w:pPr>
    </w:p>
    <w:p w:rsidR="001B062F" w:rsidRDefault="001B062F" w:rsidP="00345420">
      <w:pPr>
        <w:pStyle w:val="FootnoteText"/>
      </w:pPr>
    </w:p>
  </w:footnote>
  <w:footnote w:id="26">
    <w:p w:rsidR="001B062F" w:rsidRDefault="001B062F" w:rsidP="00A40D6B">
      <w:pPr>
        <w:pStyle w:val="FootnoteText"/>
      </w:pPr>
    </w:p>
  </w:footnote>
  <w:footnote w:id="27">
    <w:p w:rsidR="001B062F" w:rsidRDefault="001B062F" w:rsidP="00A40D6B">
      <w:pPr>
        <w:pStyle w:val="FootnoteText"/>
      </w:pPr>
    </w:p>
  </w:footnote>
  <w:footnote w:id="28">
    <w:p w:rsidR="001B062F" w:rsidRDefault="001B062F" w:rsidP="00A40D6B">
      <w:pPr>
        <w:pStyle w:val="FootnoteText"/>
      </w:pPr>
    </w:p>
  </w:footnote>
  <w:footnote w:id="29">
    <w:p w:rsidR="001B062F" w:rsidRDefault="001B062F" w:rsidP="00A40D6B">
      <w:pPr>
        <w:pStyle w:val="FootnoteText"/>
      </w:pPr>
    </w:p>
  </w:footnote>
  <w:footnote w:id="30">
    <w:p w:rsidR="001B062F" w:rsidRDefault="001B062F" w:rsidP="00A40D6B">
      <w:pPr>
        <w:pStyle w:val="FootnoteText"/>
      </w:pPr>
    </w:p>
  </w:footnote>
  <w:footnote w:id="31">
    <w:p w:rsidR="001B062F" w:rsidRDefault="001B062F" w:rsidP="00A40D6B">
      <w:pPr>
        <w:pStyle w:val="FootnoteText"/>
      </w:pPr>
    </w:p>
  </w:footnote>
  <w:footnote w:id="32">
    <w:p w:rsidR="001B062F" w:rsidRDefault="001B062F" w:rsidP="00A40D6B">
      <w:pPr>
        <w:pStyle w:val="FootnoteText"/>
      </w:pPr>
      <w:r>
        <w:t>.</w:t>
      </w:r>
    </w:p>
  </w:footnote>
  <w:footnote w:id="33">
    <w:p w:rsidR="001B062F" w:rsidRDefault="001B062F" w:rsidP="00A40D6B">
      <w:pPr>
        <w:pStyle w:val="FootnoteText"/>
      </w:pPr>
    </w:p>
  </w:footnote>
  <w:footnote w:id="34">
    <w:p w:rsidR="001B062F" w:rsidRPr="00A40D6B" w:rsidRDefault="001B062F" w:rsidP="00A40D6B">
      <w:pPr>
        <w:pStyle w:val="FootnoteText"/>
      </w:pPr>
    </w:p>
  </w:footnote>
  <w:footnote w:id="35">
    <w:p w:rsidR="001B062F" w:rsidRPr="00A40D6B" w:rsidRDefault="001B062F" w:rsidP="00A40D6B">
      <w:pPr>
        <w:pStyle w:val="FootnoteText"/>
      </w:pPr>
    </w:p>
  </w:footnote>
  <w:footnote w:id="36">
    <w:p w:rsidR="001B062F" w:rsidRDefault="001B062F" w:rsidP="00A40D6B">
      <w:pPr>
        <w:pStyle w:val="FootnoteText"/>
      </w:pPr>
      <w:r>
        <w:t>.</w:t>
      </w:r>
    </w:p>
  </w:footnote>
  <w:footnote w:id="37">
    <w:p w:rsidR="001B062F" w:rsidRDefault="001B062F" w:rsidP="00A40D6B">
      <w:pPr>
        <w:pStyle w:val="FootnoteText"/>
      </w:pPr>
    </w:p>
  </w:footnote>
  <w:footnote w:id="38">
    <w:p w:rsidR="001B062F" w:rsidRDefault="001B062F" w:rsidP="00A40D6B">
      <w:pPr>
        <w:pStyle w:val="FootnoteText"/>
      </w:pPr>
    </w:p>
  </w:footnote>
  <w:footnote w:id="39">
    <w:p w:rsidR="001B062F" w:rsidRDefault="001B062F" w:rsidP="006977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2F" w:rsidRDefault="001B062F">
    <w:pPr>
      <w:pStyle w:val="Header"/>
      <w:rPr>
        <w:sz w:val="36"/>
        <w:szCs w:val="36"/>
      </w:rPr>
    </w:pPr>
  </w:p>
  <w:p w:rsidR="001B062F" w:rsidRPr="00FF156C" w:rsidRDefault="001B062F">
    <w:pPr>
      <w:pStyle w:val="Header"/>
      <w:rPr>
        <w:sz w:val="36"/>
        <w:szCs w:val="36"/>
      </w:rPr>
    </w:pPr>
  </w:p>
  <w:p w:rsidR="001B062F" w:rsidRPr="00FF156C" w:rsidRDefault="001B062F">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5FBE"/>
    <w:multiLevelType w:val="hybridMultilevel"/>
    <w:tmpl w:val="6944A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875861"/>
    <w:multiLevelType w:val="hybridMultilevel"/>
    <w:tmpl w:val="9996A8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710F1E"/>
    <w:multiLevelType w:val="hybridMultilevel"/>
    <w:tmpl w:val="39642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F27D7E"/>
    <w:multiLevelType w:val="hybridMultilevel"/>
    <w:tmpl w:val="562E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779F4"/>
    <w:multiLevelType w:val="hybridMultilevel"/>
    <w:tmpl w:val="47C84F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79"/>
    <w:rsid w:val="00007935"/>
    <w:rsid w:val="00022D83"/>
    <w:rsid w:val="000277AA"/>
    <w:rsid w:val="0003768F"/>
    <w:rsid w:val="00044040"/>
    <w:rsid w:val="00062701"/>
    <w:rsid w:val="000756D8"/>
    <w:rsid w:val="000A54FF"/>
    <w:rsid w:val="000B0AF1"/>
    <w:rsid w:val="000C19BF"/>
    <w:rsid w:val="000C52C0"/>
    <w:rsid w:val="000D3FA2"/>
    <w:rsid w:val="000D4C4B"/>
    <w:rsid w:val="000D6DEA"/>
    <w:rsid w:val="000E57B4"/>
    <w:rsid w:val="000F1E97"/>
    <w:rsid w:val="001069EA"/>
    <w:rsid w:val="00115C4C"/>
    <w:rsid w:val="00117C7C"/>
    <w:rsid w:val="0013215C"/>
    <w:rsid w:val="001417D7"/>
    <w:rsid w:val="00142BE5"/>
    <w:rsid w:val="001512A1"/>
    <w:rsid w:val="001835B2"/>
    <w:rsid w:val="0018561D"/>
    <w:rsid w:val="001927A3"/>
    <w:rsid w:val="001A3536"/>
    <w:rsid w:val="001B062F"/>
    <w:rsid w:val="001C23D1"/>
    <w:rsid w:val="001D05CE"/>
    <w:rsid w:val="001D1905"/>
    <w:rsid w:val="001F5028"/>
    <w:rsid w:val="00213B41"/>
    <w:rsid w:val="002450DF"/>
    <w:rsid w:val="00246661"/>
    <w:rsid w:val="0025584C"/>
    <w:rsid w:val="002656B8"/>
    <w:rsid w:val="002806F6"/>
    <w:rsid w:val="002B59C8"/>
    <w:rsid w:val="002C01F0"/>
    <w:rsid w:val="002D0F23"/>
    <w:rsid w:val="002E5A79"/>
    <w:rsid w:val="002F7E74"/>
    <w:rsid w:val="00312F61"/>
    <w:rsid w:val="00336F07"/>
    <w:rsid w:val="00345420"/>
    <w:rsid w:val="00351535"/>
    <w:rsid w:val="003632D4"/>
    <w:rsid w:val="00365FBF"/>
    <w:rsid w:val="00370433"/>
    <w:rsid w:val="00386811"/>
    <w:rsid w:val="003A6EC8"/>
    <w:rsid w:val="003F32B0"/>
    <w:rsid w:val="003F3D71"/>
    <w:rsid w:val="00413A91"/>
    <w:rsid w:val="0045742F"/>
    <w:rsid w:val="004D2DFB"/>
    <w:rsid w:val="005136C4"/>
    <w:rsid w:val="0051751C"/>
    <w:rsid w:val="00522856"/>
    <w:rsid w:val="00523716"/>
    <w:rsid w:val="00527E89"/>
    <w:rsid w:val="00534809"/>
    <w:rsid w:val="005364EE"/>
    <w:rsid w:val="00555305"/>
    <w:rsid w:val="00557E9F"/>
    <w:rsid w:val="0056012D"/>
    <w:rsid w:val="005602B6"/>
    <w:rsid w:val="005955DA"/>
    <w:rsid w:val="005B1CB6"/>
    <w:rsid w:val="005B72EE"/>
    <w:rsid w:val="005F1510"/>
    <w:rsid w:val="00605179"/>
    <w:rsid w:val="006056C2"/>
    <w:rsid w:val="006068FA"/>
    <w:rsid w:val="00622BF5"/>
    <w:rsid w:val="0062752D"/>
    <w:rsid w:val="006367C4"/>
    <w:rsid w:val="00641862"/>
    <w:rsid w:val="00641E56"/>
    <w:rsid w:val="006463BA"/>
    <w:rsid w:val="00647269"/>
    <w:rsid w:val="00647D65"/>
    <w:rsid w:val="00650D5A"/>
    <w:rsid w:val="00652986"/>
    <w:rsid w:val="00684096"/>
    <w:rsid w:val="006977B7"/>
    <w:rsid w:val="006D13E1"/>
    <w:rsid w:val="007070D3"/>
    <w:rsid w:val="007101FC"/>
    <w:rsid w:val="007110FC"/>
    <w:rsid w:val="007255CD"/>
    <w:rsid w:val="00725AD7"/>
    <w:rsid w:val="00745007"/>
    <w:rsid w:val="00754235"/>
    <w:rsid w:val="0076254F"/>
    <w:rsid w:val="007631AA"/>
    <w:rsid w:val="007836D5"/>
    <w:rsid w:val="00783944"/>
    <w:rsid w:val="007968F9"/>
    <w:rsid w:val="007C75F3"/>
    <w:rsid w:val="007C775F"/>
    <w:rsid w:val="007D2427"/>
    <w:rsid w:val="007E21DF"/>
    <w:rsid w:val="007E23A5"/>
    <w:rsid w:val="007E2719"/>
    <w:rsid w:val="007E72C2"/>
    <w:rsid w:val="007F69CB"/>
    <w:rsid w:val="008159D2"/>
    <w:rsid w:val="00823A44"/>
    <w:rsid w:val="00830490"/>
    <w:rsid w:val="008333D7"/>
    <w:rsid w:val="00835975"/>
    <w:rsid w:val="00845631"/>
    <w:rsid w:val="00852A00"/>
    <w:rsid w:val="008906AA"/>
    <w:rsid w:val="008A67F7"/>
    <w:rsid w:val="008B06CF"/>
    <w:rsid w:val="008B4F28"/>
    <w:rsid w:val="008C6589"/>
    <w:rsid w:val="008D3F00"/>
    <w:rsid w:val="008D580A"/>
    <w:rsid w:val="0091026E"/>
    <w:rsid w:val="009163F4"/>
    <w:rsid w:val="00925943"/>
    <w:rsid w:val="00931A98"/>
    <w:rsid w:val="00933B36"/>
    <w:rsid w:val="009516F9"/>
    <w:rsid w:val="00951D81"/>
    <w:rsid w:val="009920D9"/>
    <w:rsid w:val="009A2C2E"/>
    <w:rsid w:val="009B1AA6"/>
    <w:rsid w:val="009B1EFF"/>
    <w:rsid w:val="009F38FD"/>
    <w:rsid w:val="00A40D6B"/>
    <w:rsid w:val="00A42A03"/>
    <w:rsid w:val="00A448EF"/>
    <w:rsid w:val="00A47ABC"/>
    <w:rsid w:val="00A6430F"/>
    <w:rsid w:val="00A72F33"/>
    <w:rsid w:val="00A86405"/>
    <w:rsid w:val="00A961CA"/>
    <w:rsid w:val="00AA4864"/>
    <w:rsid w:val="00AC38FC"/>
    <w:rsid w:val="00AC3ACB"/>
    <w:rsid w:val="00AD0352"/>
    <w:rsid w:val="00AD2199"/>
    <w:rsid w:val="00AD362D"/>
    <w:rsid w:val="00AF2E30"/>
    <w:rsid w:val="00AF4059"/>
    <w:rsid w:val="00AF719E"/>
    <w:rsid w:val="00B16012"/>
    <w:rsid w:val="00B22FFB"/>
    <w:rsid w:val="00B303AB"/>
    <w:rsid w:val="00B619FE"/>
    <w:rsid w:val="00B66BB0"/>
    <w:rsid w:val="00B7173F"/>
    <w:rsid w:val="00BA3D07"/>
    <w:rsid w:val="00BB7894"/>
    <w:rsid w:val="00C066C9"/>
    <w:rsid w:val="00C1093F"/>
    <w:rsid w:val="00C2078D"/>
    <w:rsid w:val="00C3310E"/>
    <w:rsid w:val="00C51F61"/>
    <w:rsid w:val="00C5435F"/>
    <w:rsid w:val="00C62F3A"/>
    <w:rsid w:val="00C8115E"/>
    <w:rsid w:val="00C84F51"/>
    <w:rsid w:val="00C9604A"/>
    <w:rsid w:val="00CB7F85"/>
    <w:rsid w:val="00CC3574"/>
    <w:rsid w:val="00CD7BC3"/>
    <w:rsid w:val="00CF6B11"/>
    <w:rsid w:val="00D10729"/>
    <w:rsid w:val="00D154C7"/>
    <w:rsid w:val="00D503E0"/>
    <w:rsid w:val="00D51EB3"/>
    <w:rsid w:val="00D527BF"/>
    <w:rsid w:val="00D73500"/>
    <w:rsid w:val="00D842AE"/>
    <w:rsid w:val="00D943CB"/>
    <w:rsid w:val="00DB574E"/>
    <w:rsid w:val="00DB6598"/>
    <w:rsid w:val="00DC6BF6"/>
    <w:rsid w:val="00DD2055"/>
    <w:rsid w:val="00DD291E"/>
    <w:rsid w:val="00DE00B0"/>
    <w:rsid w:val="00DE1329"/>
    <w:rsid w:val="00E15C6E"/>
    <w:rsid w:val="00E2391E"/>
    <w:rsid w:val="00E36479"/>
    <w:rsid w:val="00E43115"/>
    <w:rsid w:val="00E50517"/>
    <w:rsid w:val="00E50967"/>
    <w:rsid w:val="00E5198E"/>
    <w:rsid w:val="00E54DCD"/>
    <w:rsid w:val="00E55CD9"/>
    <w:rsid w:val="00E71C3B"/>
    <w:rsid w:val="00E77E75"/>
    <w:rsid w:val="00E84E7E"/>
    <w:rsid w:val="00EB6A20"/>
    <w:rsid w:val="00ED1E5B"/>
    <w:rsid w:val="00ED35F0"/>
    <w:rsid w:val="00EF007D"/>
    <w:rsid w:val="00EF6FFF"/>
    <w:rsid w:val="00EF7528"/>
    <w:rsid w:val="00EF7548"/>
    <w:rsid w:val="00F05B9C"/>
    <w:rsid w:val="00F145D5"/>
    <w:rsid w:val="00F14CD5"/>
    <w:rsid w:val="00F35049"/>
    <w:rsid w:val="00F36C12"/>
    <w:rsid w:val="00F4338D"/>
    <w:rsid w:val="00F61392"/>
    <w:rsid w:val="00FB06CD"/>
    <w:rsid w:val="00FB3206"/>
    <w:rsid w:val="00FB706F"/>
    <w:rsid w:val="00FD6460"/>
    <w:rsid w:val="00FD7A43"/>
    <w:rsid w:val="00FF156C"/>
    <w:rsid w:val="00FF3A3E"/>
    <w:rsid w:val="00FF4D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DF20E-ABA3-DA44-9DB0-B2282C24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D71"/>
  </w:style>
  <w:style w:type="paragraph" w:styleId="Heading1">
    <w:name w:val="heading 1"/>
    <w:basedOn w:val="Normal"/>
    <w:next w:val="Normal"/>
    <w:link w:val="Heading1Char"/>
    <w:uiPriority w:val="9"/>
    <w:qFormat/>
    <w:rsid w:val="00707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56C"/>
  </w:style>
  <w:style w:type="paragraph" w:styleId="Footer">
    <w:name w:val="footer"/>
    <w:basedOn w:val="Normal"/>
    <w:link w:val="FooterChar"/>
    <w:uiPriority w:val="99"/>
    <w:unhideWhenUsed/>
    <w:rsid w:val="00FF1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56C"/>
  </w:style>
  <w:style w:type="paragraph" w:styleId="FootnoteText">
    <w:name w:val="footnote text"/>
    <w:basedOn w:val="Normal"/>
    <w:link w:val="FootnoteTextChar"/>
    <w:uiPriority w:val="99"/>
    <w:semiHidden/>
    <w:unhideWhenUsed/>
    <w:rsid w:val="00FF1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56C"/>
    <w:rPr>
      <w:sz w:val="20"/>
      <w:szCs w:val="20"/>
    </w:rPr>
  </w:style>
  <w:style w:type="character" w:styleId="FootnoteReference">
    <w:name w:val="footnote reference"/>
    <w:basedOn w:val="DefaultParagraphFont"/>
    <w:uiPriority w:val="99"/>
    <w:semiHidden/>
    <w:unhideWhenUsed/>
    <w:rsid w:val="00FF156C"/>
    <w:rPr>
      <w:vertAlign w:val="superscript"/>
    </w:rPr>
  </w:style>
  <w:style w:type="paragraph" w:styleId="EndnoteText">
    <w:name w:val="endnote text"/>
    <w:basedOn w:val="Normal"/>
    <w:link w:val="EndnoteTextChar"/>
    <w:uiPriority w:val="99"/>
    <w:semiHidden/>
    <w:unhideWhenUsed/>
    <w:rsid w:val="00AF2E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2E30"/>
    <w:rPr>
      <w:sz w:val="20"/>
      <w:szCs w:val="20"/>
    </w:rPr>
  </w:style>
  <w:style w:type="character" w:styleId="EndnoteReference">
    <w:name w:val="endnote reference"/>
    <w:basedOn w:val="DefaultParagraphFont"/>
    <w:uiPriority w:val="99"/>
    <w:semiHidden/>
    <w:unhideWhenUsed/>
    <w:rsid w:val="00AF2E30"/>
    <w:rPr>
      <w:vertAlign w:val="superscript"/>
    </w:rPr>
  </w:style>
  <w:style w:type="paragraph" w:styleId="BalloonText">
    <w:name w:val="Balloon Text"/>
    <w:basedOn w:val="Normal"/>
    <w:link w:val="BalloonTextChar"/>
    <w:uiPriority w:val="99"/>
    <w:semiHidden/>
    <w:unhideWhenUsed/>
    <w:rsid w:val="00AF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59"/>
    <w:rPr>
      <w:rFonts w:ascii="Tahoma" w:hAnsi="Tahoma" w:cs="Tahoma"/>
      <w:sz w:val="16"/>
      <w:szCs w:val="16"/>
    </w:rPr>
  </w:style>
  <w:style w:type="table" w:styleId="LightShading">
    <w:name w:val="Light Shading"/>
    <w:basedOn w:val="TableNormal"/>
    <w:uiPriority w:val="60"/>
    <w:rsid w:val="009A2C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3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5153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uiPriority w:val="9"/>
    <w:rsid w:val="007070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3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png"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Jon14</b:Tag>
    <b:SourceType>JournalArticle</b:SourceType>
    <b:Guid>{4365BF30-66AC-4C4D-96D0-DEF8BAF35A2D}</b:Guid>
    <b:Title>Diagnosis and management of adult coeliac disease:guideline</b:Title>
    <b:Year>2014</b:Year>
    <b:Author>
      <b:Author>
        <b:Corporate>Jonas F Ludvigsson,1,2 Julio C Bai,3 Federico Biagi,4 Timothy R Card,5</b:Corporate>
      </b:Author>
    </b:Author>
    <b:Pages>19</b:Pages>
    <b:RefOrder>1</b:RefOrder>
  </b:Source>
</b:Sources>
</file>

<file path=customXml/itemProps1.xml><?xml version="1.0" encoding="utf-8"?>
<ds:datastoreItem xmlns:ds="http://schemas.openxmlformats.org/officeDocument/2006/customXml" ds:itemID="{699D57A0-7CA9-1F49-81E6-70DD3340A1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4578</Words>
  <Characters>26100</Characters>
  <Application>Microsoft Office Word</Application>
  <DocSecurity>0</DocSecurity>
  <Lines>217</Lines>
  <Paragraphs>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Guest User</cp:lastModifiedBy>
  <cp:revision>2</cp:revision>
  <dcterms:created xsi:type="dcterms:W3CDTF">2019-04-13T15:36:00Z</dcterms:created>
  <dcterms:modified xsi:type="dcterms:W3CDTF">2019-04-13T15:36:00Z</dcterms:modified>
</cp:coreProperties>
</file>